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 w:val="0"/>
          <w:bCs w:val="0"/>
          <w:sz w:val="18"/>
          <w:szCs w:val="18"/>
        </w:rPr>
      </w:pPr>
      <w:bookmarkStart w:id="0" w:name="_GoBack"/>
      <w:r>
        <w:rPr>
          <w:color w:val="333333"/>
          <w:sz w:val="30"/>
          <w:szCs w:val="30"/>
          <w:bdr w:val="none" w:color="auto" w:sz="0" w:space="0"/>
        </w:rPr>
        <w:t>关于2024年夏季学期教学安排通知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center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ascii="仿宋" w:hAnsi="仿宋" w:eastAsia="仿宋" w:cs="仿宋"/>
          <w:sz w:val="27"/>
          <w:szCs w:val="27"/>
          <w:bdr w:val="none" w:color="auto" w:sz="0" w:space="0"/>
        </w:rPr>
        <w:t>各二级学院：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根据本科教学计划安排，加强夏季学期实践教学的规范管理，结合学校和二级学院实践教学资源实际情况，对2024年夏季学期学生社会实践教学工作做如下安排：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Style w:val="8"/>
          <w:rFonts w:hint="eastAsia" w:ascii="仿宋" w:hAnsi="仿宋" w:eastAsia="仿宋" w:cs="仿宋"/>
          <w:sz w:val="27"/>
          <w:szCs w:val="27"/>
          <w:bdr w:val="none" w:color="auto" w:sz="0" w:space="0"/>
        </w:rPr>
        <w:t>一、实习时间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夏季学期：2024年6月19日-7月14日（4周）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Style w:val="8"/>
          <w:rFonts w:hint="eastAsia" w:ascii="仿宋" w:hAnsi="仿宋" w:eastAsia="仿宋" w:cs="仿宋"/>
          <w:sz w:val="27"/>
          <w:szCs w:val="27"/>
          <w:bdr w:val="none" w:color="auto" w:sz="0" w:space="0"/>
        </w:rPr>
        <w:t>二、具体安排及要求 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各学院参照2023级新修订人才培养方案中实践教学环节计划进程表进行具体安排2024年夏季学期社会实践（附 附件1：2023级本科指导性实践教学环节计划进程汇总）。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各年级实践学分及实践周数如下：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2477"/>
        <w:gridCol w:w="1780"/>
        <w:gridCol w:w="17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实践年级</w:t>
            </w:r>
          </w:p>
        </w:tc>
        <w:tc>
          <w:tcPr>
            <w:tcW w:w="14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实践环节名称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实践学分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实践周数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4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2021级</w:t>
            </w:r>
          </w:p>
        </w:tc>
        <w:tc>
          <w:tcPr>
            <w:tcW w:w="14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实习实训3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4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4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2022级</w:t>
            </w:r>
          </w:p>
        </w:tc>
        <w:tc>
          <w:tcPr>
            <w:tcW w:w="14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专业实习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4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4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2023级</w:t>
            </w:r>
          </w:p>
        </w:tc>
        <w:tc>
          <w:tcPr>
            <w:tcW w:w="14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认识实习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2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2023级专升本</w:t>
            </w:r>
          </w:p>
        </w:tc>
        <w:tc>
          <w:tcPr>
            <w:tcW w:w="14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专业实习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4</w:t>
            </w:r>
          </w:p>
        </w:tc>
        <w:tc>
          <w:tcPr>
            <w:tcW w:w="10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7"/>
                <w:szCs w:val="27"/>
                <w:bdr w:val="none" w:color="auto" w:sz="0" w:space="0"/>
              </w:rPr>
              <w:t>4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结合教育部办公厅关于做好“全国大学生实习公共服务平台”数据报送工作的通知（教高厅函〔2023〕1号）的文件要求及2023级新修订人才培养方案中实践环节的要求，建议各学院在安排课程时采用分年级安排，以便后续工作的顺利开展。实务课程建议以中小班授课为主，实习课程按照规定1:30比例进行开班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为确保我校本科一、二、三年级的所有学生（含专升本）都能顺利参加，各二级学院要统一安排好教学计划及教学进度、课程考核以及成绩登录各环节工作，由各学院安排好相应的开课信息及学生信息提交教务处实践科，统一导入信息系统。          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Style w:val="8"/>
          <w:rFonts w:hint="eastAsia" w:ascii="仿宋" w:hAnsi="仿宋" w:eastAsia="仿宋" w:cs="仿宋"/>
          <w:sz w:val="27"/>
          <w:szCs w:val="27"/>
          <w:bdr w:val="none" w:color="auto" w:sz="0" w:space="0"/>
        </w:rPr>
        <w:t>三、学生学习证明材料要求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凡参加实务课程学习，以随堂考试成绩为依据，由各任课教师进行具体考核。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凡参加线下实习，学生需提交实习日志（电子版）与实习总结（纸质版）由学院留存。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Style w:val="8"/>
          <w:rFonts w:hint="eastAsia" w:ascii="仿宋" w:hAnsi="仿宋" w:eastAsia="仿宋" w:cs="仿宋"/>
          <w:sz w:val="27"/>
          <w:szCs w:val="27"/>
          <w:bdr w:val="none" w:color="auto" w:sz="0" w:space="0"/>
        </w:rPr>
        <w:t>四、各学院及带队教师工作要求       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各学院要高度重视，由各二级学院院长全面负责、副院长具体负责此次夏季学期实践教学工作，确保每一名学生都能正常参加实践教学活动，并取得相应实习学分。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各二级学院根据本通知尽快制定相关方案，做好夏季短学期实践教学准备工作。请各二级学院将本学院的夏季短学期本科生课程安排（附件2）于4月19日前报教务处，5月17日前将各课程学生名单（附件3）报送至教务处进行统一导入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drawing>
          <wp:inline distT="0" distB="0" distL="114300" distR="114300">
            <wp:extent cx="152400" cy="152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begin"/>
      </w:r>
      <w:r>
        <w:rPr>
          <w:rFonts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instrText xml:space="preserve"> HYPERLINK "https://www.shupl.edu.cn/_upload/article/files/18/32/7fc073164f70a725188c2c96470c/3dc35f65-a6e0-42b9-88d5-f4ed6749a362.xls" </w:instrText>
      </w:r>
      <w:r>
        <w:rPr>
          <w:rFonts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separate"/>
      </w:r>
      <w:r>
        <w:rPr>
          <w:rStyle w:val="9"/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t>附件1：2023级本科指导性实践教学环节计划进程汇总.xls</w:t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drawing>
          <wp:inline distT="0" distB="0" distL="114300" distR="114300">
            <wp:extent cx="152400" cy="152400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begin"/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instrText xml:space="preserve"> HYPERLINK "https://www.shupl.edu.cn/_upload/article/files/18/32/7fc073164f70a725188c2c96470c/e1e7c757-0cae-4b9c-9290-3356e94dd48f.xls" </w:instrText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separate"/>
      </w:r>
      <w:r>
        <w:rPr>
          <w:rStyle w:val="9"/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t>附件2：2024年夏季学期学期课程汇总表.xls</w:t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drawing>
          <wp:inline distT="0" distB="0" distL="114300" distR="114300">
            <wp:extent cx="152400" cy="152400"/>
            <wp:effectExtent l="0" t="0" r="0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begin"/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instrText xml:space="preserve"> HYPERLINK "https://www.shupl.edu.cn/_upload/article/files/18/32/7fc073164f70a725188c2c96470c/066f2e78-4a1e-46e4-9052-9f4064737d45.xls" </w:instrText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separate"/>
      </w:r>
      <w:r>
        <w:rPr>
          <w:rStyle w:val="9"/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t>附件3：正选学生名单.xls</w:t>
      </w:r>
      <w:r>
        <w:rPr>
          <w:rFonts w:hint="default" w:ascii="Arial" w:hAnsi="Arial" w:eastAsia="仿宋" w:cs="Arial"/>
          <w:color w:val="000000"/>
          <w:sz w:val="18"/>
          <w:szCs w:val="18"/>
          <w:u w:val="none"/>
          <w:bdr w:val="none" w:color="auto" w:sz="0" w:space="0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教务处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rFonts w:hint="eastAsia" w:ascii="仿宋" w:hAnsi="仿宋" w:eastAsia="仿宋" w:cs="仿宋"/>
          <w:sz w:val="27"/>
          <w:szCs w:val="27"/>
          <w:bdr w:val="none" w:color="auto" w:sz="0" w:space="0"/>
        </w:rPr>
        <w:t>2024年4月2日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NDJlY2M3NTc0YjhiMGIzNDcwZmI1YWExZWM0NjQifQ=="/>
  </w:docVars>
  <w:rsids>
    <w:rsidRoot w:val="00000000"/>
    <w:rsid w:val="1020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2024-05-08T06:34:45Z</dcterms:created>
  <dc:creator>shupl</dc:creator>
  <cp:lastModifiedBy>常峰峰</cp:lastModifiedBy>
  <dcterms:modified xsi:type="dcterms:W3CDTF">2024-05-08T06:36:48Z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857B10A53C05445589FB4D4205E9D704_12</vt:lpwstr>
  </property>
</Properties>
</file>