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center"/>
        <w:textAlignment w:val="auto"/>
        <w:rPr>
          <w:rFonts w:ascii="黑体" w:hAnsi="黑体" w:eastAsia="黑体"/>
          <w:b/>
          <w:sz w:val="32"/>
        </w:rPr>
      </w:pPr>
      <w:r>
        <w:rPr>
          <w:rFonts w:hint="eastAsia" w:ascii="黑体" w:hAnsi="黑体" w:eastAsia="黑体"/>
          <w:b/>
          <w:sz w:val="32"/>
        </w:rPr>
        <w:t>上海市教卫党委系统党建研究会高校专委会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center"/>
        <w:textAlignment w:val="auto"/>
        <w:rPr>
          <w:rFonts w:ascii="黑体" w:hAnsi="黑体" w:eastAsia="黑体"/>
          <w:b/>
          <w:sz w:val="32"/>
        </w:rPr>
      </w:pPr>
      <w:r>
        <w:rPr>
          <w:rFonts w:hint="eastAsia" w:ascii="黑体" w:hAnsi="黑体" w:eastAsia="黑体"/>
          <w:b/>
          <w:sz w:val="32"/>
        </w:rPr>
        <w:t>20</w:t>
      </w:r>
      <w:r>
        <w:rPr>
          <w:rFonts w:hint="eastAsia" w:ascii="黑体" w:hAnsi="黑体" w:eastAsia="黑体"/>
          <w:b/>
          <w:sz w:val="32"/>
          <w:lang w:val="en-US" w:eastAsia="zh-CN"/>
        </w:rPr>
        <w:t>22</w:t>
      </w:r>
      <w:r>
        <w:rPr>
          <w:rFonts w:hint="eastAsia" w:ascii="黑体" w:hAnsi="黑体" w:eastAsia="黑体"/>
          <w:b/>
          <w:sz w:val="32"/>
        </w:rPr>
        <w:t>年课题指南及申报要求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center"/>
        <w:textAlignment w:val="auto"/>
        <w:rPr>
          <w:rFonts w:ascii="黑体" w:hAnsi="黑体" w:eastAsia="黑体"/>
          <w:b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各高校</w:t>
      </w:r>
      <w:r>
        <w:rPr>
          <w:rFonts w:hint="eastAsia" w:ascii="宋体" w:hAnsi="宋体"/>
          <w:b/>
          <w:bCs/>
          <w:sz w:val="24"/>
          <w:lang w:val="en-US" w:eastAsia="zh-CN"/>
        </w:rPr>
        <w:t>团体会员单位</w:t>
      </w:r>
      <w:r>
        <w:rPr>
          <w:rFonts w:hint="eastAsia" w:ascii="宋体" w:hAnsi="宋体"/>
          <w:b/>
          <w:bCs/>
          <w:sz w:val="24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现将市教卫党委系统党建研究会20</w:t>
      </w:r>
      <w:r>
        <w:rPr>
          <w:rFonts w:hint="eastAsia" w:ascii="宋体" w:hAnsi="宋体"/>
          <w:sz w:val="24"/>
          <w:lang w:val="en-US" w:eastAsia="zh-CN"/>
        </w:rPr>
        <w:t>22</w:t>
      </w:r>
      <w:r>
        <w:rPr>
          <w:rFonts w:hint="eastAsia" w:ascii="宋体" w:hAnsi="宋体"/>
          <w:sz w:val="24"/>
        </w:rPr>
        <w:t>年课题指南</w:t>
      </w:r>
      <w:r>
        <w:rPr>
          <w:rFonts w:hint="eastAsia" w:ascii="宋体" w:hAnsi="宋体"/>
          <w:sz w:val="24"/>
          <w:lang w:val="en-US" w:eastAsia="zh-CN"/>
        </w:rPr>
        <w:t>下</w:t>
      </w:r>
      <w:r>
        <w:rPr>
          <w:rFonts w:hint="eastAsia" w:ascii="宋体" w:hAnsi="宋体"/>
          <w:sz w:val="24"/>
        </w:rPr>
        <w:t>发，请按申报要求抓紧组织落实。</w:t>
      </w:r>
    </w:p>
    <w:p>
      <w:pPr>
        <w:spacing w:line="440" w:lineRule="exact"/>
        <w:ind w:firstLine="482" w:firstLineChars="200"/>
        <w:jc w:val="left"/>
        <w:rPr>
          <w:rFonts w:hint="eastAsia" w:ascii="宋体" w:hAnsi="宋体"/>
          <w:b/>
          <w:sz w:val="24"/>
          <w:lang w:val="en-US" w:eastAsia="zh-CN"/>
        </w:rPr>
      </w:pPr>
    </w:p>
    <w:p>
      <w:pPr>
        <w:spacing w:line="440" w:lineRule="exact"/>
        <w:ind w:firstLine="482" w:firstLineChars="200"/>
        <w:jc w:val="left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  <w:lang w:val="en-US" w:eastAsia="zh-CN"/>
        </w:rPr>
        <w:t>一、</w:t>
      </w:r>
      <w:r>
        <w:rPr>
          <w:rFonts w:hint="eastAsia" w:ascii="宋体" w:hAnsi="宋体"/>
          <w:b/>
          <w:sz w:val="24"/>
        </w:rPr>
        <w:t>课题指南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1．在严肃党内政治生活中锤炼初心、体悟使命研究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2．</w:t>
      </w:r>
      <w:r>
        <w:rPr>
          <w:rFonts w:hint="eastAsia" w:ascii="宋体" w:hAnsi="宋体"/>
          <w:sz w:val="24"/>
          <w:lang w:val="en-US" w:eastAsia="zh-CN"/>
        </w:rPr>
        <w:t>用</w:t>
      </w:r>
      <w:r>
        <w:rPr>
          <w:rFonts w:hint="eastAsia" w:ascii="宋体" w:hAnsi="宋体"/>
          <w:sz w:val="24"/>
        </w:rPr>
        <w:t>伟大建党精神教育引导党员干部</w:t>
      </w:r>
      <w:r>
        <w:rPr>
          <w:rFonts w:hint="eastAsia" w:ascii="宋体" w:hAnsi="宋体"/>
          <w:sz w:val="24"/>
          <w:lang w:val="en-US" w:eastAsia="zh-CN"/>
        </w:rPr>
        <w:t>担当作为</w:t>
      </w:r>
      <w:r>
        <w:rPr>
          <w:rFonts w:hint="eastAsia" w:ascii="宋体" w:hAnsi="宋体"/>
          <w:sz w:val="24"/>
        </w:rPr>
        <w:t>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3．</w:t>
      </w:r>
      <w:r>
        <w:rPr>
          <w:rFonts w:hint="eastAsia" w:ascii="宋体" w:hAnsi="宋体"/>
          <w:sz w:val="24"/>
          <w:lang w:val="en-US" w:eastAsia="zh-CN"/>
        </w:rPr>
        <w:t>将</w:t>
      </w:r>
      <w:r>
        <w:rPr>
          <w:rFonts w:hint="eastAsia" w:ascii="宋体" w:hAnsi="宋体"/>
          <w:sz w:val="24"/>
        </w:rPr>
        <w:t>伟大建党精神融入立德树人全过程研究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4．</w:t>
      </w:r>
      <w:r>
        <w:rPr>
          <w:rFonts w:hint="eastAsia" w:ascii="宋体" w:hAnsi="宋体"/>
          <w:sz w:val="24"/>
          <w:lang w:val="en-US" w:eastAsia="zh-CN"/>
        </w:rPr>
        <w:t>巩固拓展党史学习教育成果</w:t>
      </w:r>
      <w:r>
        <w:rPr>
          <w:rFonts w:hint="eastAsia" w:ascii="宋体" w:hAnsi="宋体"/>
          <w:sz w:val="24"/>
        </w:rPr>
        <w:t>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5．推动党建和事业发展深度融合研究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6．把思想政治工作贯穿党的建设始终研究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7．进一步增强基层党组织生机活力研究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8．党组织抓好后继有人根本大计的实践研究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9．全面落实意识形态工作责任制研究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10</w:t>
      </w:r>
      <w:r>
        <w:rPr>
          <w:rFonts w:hint="eastAsia" w:ascii="宋体" w:hAnsi="宋体"/>
          <w:sz w:val="24"/>
        </w:rPr>
        <w:t>．</w:t>
      </w:r>
      <w:r>
        <w:rPr>
          <w:rFonts w:hint="eastAsia" w:ascii="宋体" w:hAnsi="宋体" w:eastAsia="宋体" w:cs="宋体"/>
          <w:i w:val="0"/>
          <w:iCs w:val="0"/>
          <w:caps w:val="0"/>
          <w:color w:val="121212"/>
          <w:spacing w:val="0"/>
          <w:sz w:val="24"/>
          <w:szCs w:val="24"/>
          <w:shd w:val="clear" w:fill="FFFFFF"/>
        </w:rPr>
        <w:t>铸牢中华民族共同体</w:t>
      </w:r>
      <w:r>
        <w:rPr>
          <w:rFonts w:hint="eastAsia" w:ascii="宋体" w:hAnsi="宋体" w:cs="宋体"/>
          <w:i w:val="0"/>
          <w:iCs w:val="0"/>
          <w:caps w:val="0"/>
          <w:color w:val="121212"/>
          <w:spacing w:val="0"/>
          <w:sz w:val="24"/>
          <w:szCs w:val="24"/>
          <w:shd w:val="clear" w:fill="FFFFFF"/>
          <w:lang w:val="en-US" w:eastAsia="zh-CN"/>
        </w:rPr>
        <w:t>意识教育研究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</w:t>
      </w:r>
      <w:r>
        <w:rPr>
          <w:rFonts w:hint="eastAsia" w:ascii="宋体" w:hAnsi="宋体"/>
          <w:sz w:val="24"/>
          <w:lang w:val="en-US" w:eastAsia="zh-CN"/>
        </w:rPr>
        <w:t>1</w:t>
      </w:r>
      <w:r>
        <w:rPr>
          <w:rFonts w:hint="eastAsia" w:ascii="宋体" w:hAnsi="宋体"/>
          <w:sz w:val="24"/>
        </w:rPr>
        <w:t>．深化提升纪检监察工作综合效能研究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</w:t>
      </w:r>
      <w:r>
        <w:rPr>
          <w:rFonts w:hint="eastAsia" w:ascii="宋体" w:hAnsi="宋体"/>
          <w:sz w:val="24"/>
          <w:lang w:val="en-US" w:eastAsia="zh-CN"/>
        </w:rPr>
        <w:t>2</w:t>
      </w:r>
      <w:r>
        <w:rPr>
          <w:rFonts w:hint="eastAsia" w:ascii="宋体" w:hAnsi="宋体"/>
          <w:sz w:val="24"/>
        </w:rPr>
        <w:t>．基层党组织做好党管人才工作评价体系研究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</w:t>
      </w:r>
      <w:r>
        <w:rPr>
          <w:rFonts w:hint="eastAsia" w:ascii="宋体" w:hAnsi="宋体"/>
          <w:sz w:val="24"/>
          <w:lang w:val="en-US" w:eastAsia="zh-CN"/>
        </w:rPr>
        <w:t>3</w:t>
      </w:r>
      <w:r>
        <w:rPr>
          <w:rFonts w:hint="eastAsia" w:ascii="宋体" w:hAnsi="宋体"/>
          <w:sz w:val="24"/>
        </w:rPr>
        <w:t>．落实高校党建工作“见人见事见精神”研究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1</w:t>
      </w:r>
      <w:r>
        <w:rPr>
          <w:rFonts w:hint="eastAsia" w:ascii="宋体" w:hAnsi="宋体"/>
          <w:sz w:val="24"/>
          <w:lang w:val="en-US" w:eastAsia="zh-CN"/>
        </w:rPr>
        <w:t>4</w:t>
      </w:r>
      <w:r>
        <w:rPr>
          <w:rFonts w:hint="eastAsia" w:ascii="宋体" w:hAnsi="宋体"/>
          <w:sz w:val="24"/>
        </w:rPr>
        <w:t>．</w:t>
      </w:r>
      <w:r>
        <w:rPr>
          <w:rFonts w:hint="eastAsia" w:ascii="宋体" w:hAnsi="宋体"/>
          <w:sz w:val="24"/>
          <w:lang w:val="en-US" w:eastAsia="zh-CN"/>
        </w:rPr>
        <w:t>推动构建高质量的高校党建工作体系研究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</w:t>
      </w:r>
      <w:r>
        <w:rPr>
          <w:rFonts w:hint="eastAsia" w:ascii="宋体" w:hAnsi="宋体"/>
          <w:sz w:val="24"/>
          <w:lang w:val="en-US" w:eastAsia="zh-CN"/>
        </w:rPr>
        <w:t>5</w:t>
      </w:r>
      <w:r>
        <w:rPr>
          <w:rFonts w:hint="eastAsia" w:ascii="宋体" w:hAnsi="宋体"/>
          <w:sz w:val="24"/>
        </w:rPr>
        <w:t>．高校院（系）党组织充分发挥</w:t>
      </w:r>
      <w:r>
        <w:rPr>
          <w:rFonts w:hint="eastAsia" w:ascii="宋体" w:hAnsi="宋体"/>
          <w:sz w:val="24"/>
          <w:lang w:val="en-US" w:eastAsia="zh-CN"/>
        </w:rPr>
        <w:t>领导核心作用</w:t>
      </w:r>
      <w:r>
        <w:rPr>
          <w:rFonts w:hint="eastAsia" w:ascii="宋体" w:hAnsi="宋体"/>
          <w:sz w:val="24"/>
        </w:rPr>
        <w:t>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</w:t>
      </w:r>
      <w:r>
        <w:rPr>
          <w:rFonts w:hint="eastAsia" w:ascii="宋体" w:hAnsi="宋体"/>
          <w:sz w:val="24"/>
          <w:lang w:val="en-US" w:eastAsia="zh-CN"/>
        </w:rPr>
        <w:t>6</w:t>
      </w:r>
      <w:r>
        <w:rPr>
          <w:rFonts w:hint="eastAsia" w:ascii="宋体" w:hAnsi="宋体"/>
          <w:sz w:val="24"/>
        </w:rPr>
        <w:t>．党支部书记“双带头人”工作室建设成效研究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</w:t>
      </w:r>
      <w:r>
        <w:rPr>
          <w:rFonts w:hint="eastAsia" w:ascii="宋体" w:hAnsi="宋体"/>
          <w:sz w:val="24"/>
          <w:lang w:val="en-US" w:eastAsia="zh-CN"/>
        </w:rPr>
        <w:t>7</w:t>
      </w:r>
      <w:r>
        <w:rPr>
          <w:rFonts w:hint="eastAsia" w:ascii="宋体" w:hAnsi="宋体"/>
          <w:sz w:val="24"/>
        </w:rPr>
        <w:t>．推进大学生社区、生活园区党建工作研究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</w:t>
      </w:r>
      <w:r>
        <w:rPr>
          <w:rFonts w:hint="eastAsia" w:ascii="宋体" w:hAnsi="宋体"/>
          <w:sz w:val="24"/>
          <w:lang w:val="en-US" w:eastAsia="zh-CN"/>
        </w:rPr>
        <w:t>8</w:t>
      </w:r>
      <w:r>
        <w:rPr>
          <w:rFonts w:hint="eastAsia" w:ascii="宋体" w:hAnsi="宋体"/>
          <w:sz w:val="24"/>
        </w:rPr>
        <w:t>．医院党建工作高质量创新发展研究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</w:t>
      </w:r>
      <w:r>
        <w:rPr>
          <w:rFonts w:hint="eastAsia" w:ascii="宋体" w:hAnsi="宋体"/>
          <w:sz w:val="24"/>
          <w:lang w:val="en-US" w:eastAsia="zh-CN"/>
        </w:rPr>
        <w:t>9</w:t>
      </w:r>
      <w:r>
        <w:rPr>
          <w:rFonts w:hint="eastAsia" w:ascii="宋体" w:hAnsi="宋体"/>
          <w:sz w:val="24"/>
        </w:rPr>
        <w:t>．建设公立医院高质量发展新文化研究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20</w:t>
      </w:r>
      <w:r>
        <w:rPr>
          <w:rFonts w:hint="eastAsia" w:ascii="宋体" w:hAnsi="宋体"/>
          <w:sz w:val="24"/>
        </w:rPr>
        <w:t>．医院科室党支部在核心小组管理中的作用研究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</w:t>
      </w:r>
      <w:r>
        <w:rPr>
          <w:rFonts w:hint="eastAsia" w:ascii="宋体" w:hAnsi="宋体"/>
          <w:sz w:val="24"/>
          <w:lang w:val="en-US" w:eastAsia="zh-CN"/>
        </w:rPr>
        <w:t>1</w:t>
      </w:r>
      <w:r>
        <w:rPr>
          <w:rFonts w:hint="eastAsia" w:ascii="宋体" w:hAnsi="宋体"/>
          <w:sz w:val="24"/>
        </w:rPr>
        <w:t>．落实中小学校党组织领导的校长负责制研究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</w:t>
      </w:r>
      <w:r>
        <w:rPr>
          <w:rFonts w:hint="eastAsia" w:ascii="宋体" w:hAnsi="宋体"/>
          <w:sz w:val="24"/>
          <w:lang w:val="en-US" w:eastAsia="zh-CN"/>
        </w:rPr>
        <w:t>2</w:t>
      </w:r>
      <w:r>
        <w:rPr>
          <w:rFonts w:hint="eastAsia" w:ascii="宋体" w:hAnsi="宋体"/>
          <w:sz w:val="24"/>
        </w:rPr>
        <w:t>．把中小学基层党组织建成学校教书育人坚强战斗堡垒研究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</w:t>
      </w:r>
      <w:r>
        <w:rPr>
          <w:rFonts w:hint="eastAsia" w:ascii="宋体" w:hAnsi="宋体"/>
          <w:sz w:val="24"/>
          <w:lang w:val="en-US" w:eastAsia="zh-CN"/>
        </w:rPr>
        <w:t>3</w:t>
      </w:r>
      <w:r>
        <w:rPr>
          <w:rFonts w:hint="eastAsia" w:ascii="宋体" w:hAnsi="宋体"/>
          <w:sz w:val="24"/>
        </w:rPr>
        <w:t>．机关党支部在推动业务工作中的战斗堡垒作用研究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</w:t>
      </w:r>
      <w:r>
        <w:rPr>
          <w:rFonts w:hint="eastAsia" w:ascii="宋体" w:hAnsi="宋体"/>
          <w:sz w:val="24"/>
          <w:lang w:val="en-US" w:eastAsia="zh-CN"/>
        </w:rPr>
        <w:t>4</w:t>
      </w:r>
      <w:r>
        <w:rPr>
          <w:rFonts w:hint="eastAsia" w:ascii="宋体" w:hAnsi="宋体"/>
          <w:sz w:val="24"/>
        </w:rPr>
        <w:t>．民办学校党组织参与学校重大决策并实施监督的研究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</w:t>
      </w:r>
      <w:r>
        <w:rPr>
          <w:rFonts w:hint="eastAsia" w:ascii="宋体" w:hAnsi="宋体"/>
          <w:sz w:val="24"/>
          <w:lang w:val="en-US" w:eastAsia="zh-CN"/>
        </w:rPr>
        <w:t>5</w:t>
      </w:r>
      <w:r>
        <w:rPr>
          <w:rFonts w:hint="eastAsia" w:ascii="宋体" w:hAnsi="宋体"/>
          <w:sz w:val="24"/>
        </w:rPr>
        <w:t>．发挥离退休老同志在家庭教育、家风传承中的积极作用研究</w:t>
      </w:r>
    </w:p>
    <w:p>
      <w:pPr>
        <w:spacing w:line="440" w:lineRule="exact"/>
        <w:rPr>
          <w:rFonts w:hint="eastAsia" w:ascii="宋体" w:hAnsi="宋体"/>
          <w:b/>
          <w:sz w:val="24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auto"/>
        <w:rPr>
          <w:rFonts w:ascii="宋体" w:hAnsi="宋体"/>
          <w:b/>
          <w:sz w:val="24"/>
          <w:szCs w:val="28"/>
        </w:rPr>
      </w:pPr>
      <w:r>
        <w:rPr>
          <w:rFonts w:hint="eastAsia" w:ascii="宋体" w:hAnsi="宋体"/>
          <w:b/>
          <w:sz w:val="24"/>
          <w:szCs w:val="28"/>
        </w:rPr>
        <w:t>二、申报要求</w:t>
      </w:r>
    </w:p>
    <w:p>
      <w:pPr>
        <w:spacing w:line="440" w:lineRule="exact"/>
        <w:ind w:firstLine="480" w:firstLineChars="200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1</w:t>
      </w:r>
      <w:r>
        <w:rPr>
          <w:rFonts w:hint="eastAsia" w:ascii="宋体" w:hAnsi="宋体"/>
          <w:sz w:val="24"/>
          <w:szCs w:val="28"/>
          <w:lang w:val="en-US" w:eastAsia="zh-CN"/>
        </w:rPr>
        <w:t>.</w:t>
      </w:r>
      <w:r>
        <w:rPr>
          <w:rFonts w:hint="eastAsia" w:ascii="宋体" w:hAnsi="宋体"/>
          <w:sz w:val="24"/>
          <w:szCs w:val="28"/>
        </w:rPr>
        <w:t>课题申报由各高校组织。经各高校有关部门审定后报秘书处。</w:t>
      </w:r>
    </w:p>
    <w:p>
      <w:pPr>
        <w:spacing w:line="440" w:lineRule="exact"/>
        <w:ind w:firstLine="480" w:firstLineChars="200"/>
        <w:rPr>
          <w:rFonts w:hint="eastAsia"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2</w:t>
      </w:r>
      <w:r>
        <w:rPr>
          <w:rFonts w:hint="eastAsia" w:ascii="宋体" w:hAnsi="宋体"/>
          <w:sz w:val="24"/>
          <w:szCs w:val="28"/>
          <w:lang w:val="en-US" w:eastAsia="zh-CN"/>
        </w:rPr>
        <w:t>.</w:t>
      </w:r>
      <w:r>
        <w:rPr>
          <w:rFonts w:hint="eastAsia" w:ascii="宋体" w:hAnsi="宋体"/>
          <w:sz w:val="24"/>
          <w:szCs w:val="28"/>
        </w:rPr>
        <w:t>申报人</w:t>
      </w:r>
      <w:r>
        <w:rPr>
          <w:rFonts w:hint="eastAsia" w:ascii="宋体" w:hAnsi="宋体"/>
          <w:sz w:val="24"/>
          <w:szCs w:val="28"/>
          <w:highlight w:val="none"/>
        </w:rPr>
        <w:t>可在</w:t>
      </w:r>
      <w:r>
        <w:rPr>
          <w:rFonts w:ascii="宋体" w:hAnsi="宋体"/>
          <w:sz w:val="24"/>
          <w:szCs w:val="28"/>
          <w:highlight w:val="none"/>
        </w:rPr>
        <w:t>2</w:t>
      </w:r>
      <w:r>
        <w:rPr>
          <w:rFonts w:hint="eastAsia" w:ascii="宋体" w:hAnsi="宋体"/>
          <w:sz w:val="24"/>
          <w:szCs w:val="28"/>
          <w:highlight w:val="none"/>
          <w:lang w:val="en-US" w:eastAsia="zh-CN"/>
        </w:rPr>
        <w:t>5</w:t>
      </w:r>
      <w:r>
        <w:rPr>
          <w:rFonts w:hint="eastAsia" w:ascii="宋体" w:hAnsi="宋体"/>
          <w:sz w:val="24"/>
          <w:szCs w:val="28"/>
          <w:highlight w:val="none"/>
        </w:rPr>
        <w:t>个</w:t>
      </w:r>
      <w:r>
        <w:rPr>
          <w:rFonts w:hint="eastAsia" w:ascii="宋体" w:hAnsi="宋体"/>
          <w:sz w:val="24"/>
          <w:szCs w:val="28"/>
        </w:rPr>
        <w:t>课题指南范围内根据实际选报，可围绕一个课题从不同角度进行研究。各高校确定上报的立项课题应从严掌握，一般掌握在</w:t>
      </w:r>
      <w:r>
        <w:rPr>
          <w:rFonts w:hint="eastAsia" w:ascii="宋体" w:hAnsi="宋体"/>
          <w:sz w:val="24"/>
          <w:szCs w:val="28"/>
          <w:lang w:val="en-US" w:eastAsia="zh-CN"/>
        </w:rPr>
        <w:t>8</w:t>
      </w:r>
      <w:r>
        <w:rPr>
          <w:rFonts w:hint="eastAsia" w:ascii="宋体" w:hAnsi="宋体"/>
          <w:sz w:val="24"/>
          <w:szCs w:val="28"/>
        </w:rPr>
        <w:t>个</w:t>
      </w:r>
      <w:r>
        <w:rPr>
          <w:rFonts w:hint="eastAsia" w:ascii="宋体" w:hAnsi="宋体"/>
          <w:sz w:val="24"/>
          <w:szCs w:val="28"/>
          <w:lang w:val="en-US" w:eastAsia="zh-CN"/>
        </w:rPr>
        <w:t>以内</w:t>
      </w:r>
      <w:r>
        <w:rPr>
          <w:rFonts w:hint="eastAsia" w:ascii="宋体" w:hAnsi="宋体"/>
          <w:sz w:val="24"/>
          <w:szCs w:val="28"/>
        </w:rPr>
        <w:t>。</w:t>
      </w:r>
    </w:p>
    <w:p>
      <w:pPr>
        <w:spacing w:line="440" w:lineRule="exact"/>
        <w:ind w:firstLine="480" w:firstLineChars="200"/>
        <w:rPr>
          <w:rFonts w:hint="eastAsia" w:ascii="宋体" w:hAnsi="宋体" w:eastAsia="宋体"/>
          <w:sz w:val="24"/>
          <w:szCs w:val="28"/>
          <w:lang w:val="en-US" w:eastAsia="zh-CN"/>
        </w:rPr>
      </w:pPr>
      <w:r>
        <w:rPr>
          <w:rFonts w:hint="eastAsia" w:ascii="宋体" w:hAnsi="宋体"/>
          <w:sz w:val="24"/>
          <w:szCs w:val="28"/>
          <w:lang w:val="en-US" w:eastAsia="zh-CN"/>
        </w:rPr>
        <w:t>3.</w:t>
      </w:r>
      <w:r>
        <w:rPr>
          <w:rFonts w:hint="eastAsia" w:ascii="宋体" w:hAnsi="宋体"/>
          <w:sz w:val="24"/>
          <w:szCs w:val="28"/>
        </w:rPr>
        <w:t>请按申报表所列项目逐项填写</w:t>
      </w:r>
      <w:r>
        <w:rPr>
          <w:rFonts w:hint="eastAsia" w:ascii="宋体" w:hAnsi="宋体"/>
          <w:sz w:val="24"/>
          <w:szCs w:val="28"/>
          <w:lang w:eastAsia="zh-CN"/>
        </w:rPr>
        <w:t>。</w:t>
      </w:r>
    </w:p>
    <w:p>
      <w:pPr>
        <w:spacing w:line="440" w:lineRule="exact"/>
        <w:ind w:firstLine="480" w:firstLineChars="200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  <w:lang w:val="en-US" w:eastAsia="zh-CN"/>
        </w:rPr>
        <w:t>4.</w:t>
      </w:r>
      <w:r>
        <w:rPr>
          <w:rFonts w:hint="eastAsia" w:ascii="宋体" w:hAnsi="宋体"/>
          <w:sz w:val="24"/>
          <w:szCs w:val="28"/>
        </w:rPr>
        <w:t>根据市教卫党委系统党建研究会的统一要求确定20</w:t>
      </w:r>
      <w:r>
        <w:rPr>
          <w:rFonts w:hint="eastAsia" w:ascii="宋体" w:hAnsi="宋体"/>
          <w:sz w:val="24"/>
          <w:szCs w:val="28"/>
          <w:lang w:val="en-US" w:eastAsia="zh-CN"/>
        </w:rPr>
        <w:t>22</w:t>
      </w:r>
      <w:r>
        <w:rPr>
          <w:rFonts w:hint="eastAsia" w:ascii="宋体" w:hAnsi="宋体"/>
          <w:sz w:val="24"/>
          <w:szCs w:val="28"/>
        </w:rPr>
        <w:t>年正式立项的课题。对所立项的课题，专委会将加强督促与检查，各课题负责人要切实履行责任，确保研究质量。</w:t>
      </w:r>
    </w:p>
    <w:p>
      <w:pPr>
        <w:spacing w:line="440" w:lineRule="exact"/>
        <w:ind w:firstLine="480" w:firstLineChars="200"/>
        <w:rPr>
          <w:rFonts w:hint="eastAsia" w:ascii="宋体" w:hAnsi="宋体"/>
          <w:sz w:val="24"/>
          <w:szCs w:val="28"/>
          <w:lang w:val="en-US" w:eastAsia="zh-CN"/>
        </w:rPr>
      </w:pPr>
    </w:p>
    <w:p>
      <w:pPr>
        <w:spacing w:line="440" w:lineRule="exact"/>
        <w:ind w:firstLine="480" w:firstLineChars="200"/>
        <w:rPr>
          <w:rFonts w:hint="eastAsia" w:ascii="宋体" w:hAnsi="宋体"/>
          <w:sz w:val="24"/>
          <w:szCs w:val="28"/>
          <w:lang w:val="en-US" w:eastAsia="zh-CN"/>
        </w:rPr>
      </w:pPr>
      <w:bookmarkStart w:id="0" w:name="_GoBack"/>
      <w:bookmarkEnd w:id="0"/>
    </w:p>
    <w:p>
      <w:pPr>
        <w:spacing w:line="440" w:lineRule="exact"/>
        <w:rPr>
          <w:sz w:val="20"/>
        </w:rPr>
      </w:pPr>
    </w:p>
    <w:p>
      <w:pPr>
        <w:spacing w:line="440" w:lineRule="exact"/>
        <w:rPr>
          <w:sz w:val="20"/>
        </w:rPr>
      </w:pPr>
    </w:p>
    <w:p>
      <w:pPr>
        <w:spacing w:line="440" w:lineRule="exact"/>
        <w:rPr>
          <w:sz w:val="20"/>
        </w:rPr>
      </w:pPr>
    </w:p>
    <w:p>
      <w:pPr>
        <w:spacing w:line="440" w:lineRule="exact"/>
        <w:rPr>
          <w:sz w:val="20"/>
        </w:rPr>
      </w:pPr>
    </w:p>
    <w:p>
      <w:pPr>
        <w:spacing w:line="440" w:lineRule="exact"/>
        <w:rPr>
          <w:sz w:val="20"/>
        </w:rPr>
      </w:pPr>
    </w:p>
    <w:p>
      <w:pPr>
        <w:spacing w:line="440" w:lineRule="exact"/>
        <w:rPr>
          <w:sz w:val="20"/>
        </w:rPr>
      </w:pPr>
    </w:p>
    <w:p>
      <w:pPr>
        <w:spacing w:line="440" w:lineRule="exact"/>
        <w:rPr>
          <w:sz w:val="20"/>
        </w:rPr>
      </w:pPr>
    </w:p>
    <w:p>
      <w:pPr>
        <w:spacing w:line="440" w:lineRule="exact"/>
        <w:rPr>
          <w:sz w:val="20"/>
        </w:rPr>
      </w:pPr>
    </w:p>
    <w:p>
      <w:pPr>
        <w:spacing w:line="440" w:lineRule="exact"/>
        <w:rPr>
          <w:sz w:val="20"/>
        </w:rPr>
      </w:pPr>
    </w:p>
    <w:p>
      <w:pPr>
        <w:spacing w:line="440" w:lineRule="exact"/>
        <w:rPr>
          <w:sz w:val="20"/>
        </w:rPr>
      </w:pPr>
    </w:p>
    <w:p>
      <w:pPr>
        <w:spacing w:line="440" w:lineRule="exact"/>
        <w:rPr>
          <w:sz w:val="20"/>
        </w:rPr>
      </w:pPr>
    </w:p>
    <w:p>
      <w:pPr>
        <w:spacing w:line="440" w:lineRule="exact"/>
        <w:rPr>
          <w:sz w:val="20"/>
        </w:rPr>
      </w:pPr>
    </w:p>
    <w:p>
      <w:pPr>
        <w:spacing w:line="440" w:lineRule="exact"/>
        <w:rPr>
          <w:sz w:val="20"/>
        </w:rPr>
      </w:pPr>
    </w:p>
    <w:p>
      <w:pPr>
        <w:spacing w:line="440" w:lineRule="exact"/>
        <w:rPr>
          <w:sz w:val="20"/>
        </w:rPr>
      </w:pPr>
    </w:p>
    <w:p>
      <w:pPr>
        <w:spacing w:line="440" w:lineRule="exact"/>
        <w:rPr>
          <w:sz w:val="20"/>
        </w:rPr>
      </w:pPr>
    </w:p>
    <w:sectPr>
      <w:pgSz w:w="11906" w:h="16838"/>
      <w:pgMar w:top="1440" w:right="1701" w:bottom="124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B2"/>
    <w:rsid w:val="0009055E"/>
    <w:rsid w:val="0009554B"/>
    <w:rsid w:val="001E10C8"/>
    <w:rsid w:val="003A3A68"/>
    <w:rsid w:val="0049778E"/>
    <w:rsid w:val="005301B2"/>
    <w:rsid w:val="005A2097"/>
    <w:rsid w:val="006439FB"/>
    <w:rsid w:val="008C66C1"/>
    <w:rsid w:val="00915FB2"/>
    <w:rsid w:val="00B61718"/>
    <w:rsid w:val="00D86CD2"/>
    <w:rsid w:val="00E165AA"/>
    <w:rsid w:val="00E55EA8"/>
    <w:rsid w:val="00FD1A52"/>
    <w:rsid w:val="00FD51CB"/>
    <w:rsid w:val="0279279F"/>
    <w:rsid w:val="040D2FF4"/>
    <w:rsid w:val="04397E5F"/>
    <w:rsid w:val="049C45F0"/>
    <w:rsid w:val="082B1D0E"/>
    <w:rsid w:val="08C952EA"/>
    <w:rsid w:val="08ED34ED"/>
    <w:rsid w:val="09437CF1"/>
    <w:rsid w:val="0C5A49F7"/>
    <w:rsid w:val="0C8329BF"/>
    <w:rsid w:val="142F76CC"/>
    <w:rsid w:val="18635544"/>
    <w:rsid w:val="19624A27"/>
    <w:rsid w:val="1FD04999"/>
    <w:rsid w:val="207F3766"/>
    <w:rsid w:val="22570311"/>
    <w:rsid w:val="264C1DA3"/>
    <w:rsid w:val="2B631449"/>
    <w:rsid w:val="2BBB0FA8"/>
    <w:rsid w:val="2C236610"/>
    <w:rsid w:val="2D1500AE"/>
    <w:rsid w:val="2D903268"/>
    <w:rsid w:val="337D1C2C"/>
    <w:rsid w:val="33DE3EEB"/>
    <w:rsid w:val="34B91D1F"/>
    <w:rsid w:val="35AD7282"/>
    <w:rsid w:val="36C2643A"/>
    <w:rsid w:val="39A63DBB"/>
    <w:rsid w:val="3DF6541E"/>
    <w:rsid w:val="3E5D65C2"/>
    <w:rsid w:val="3E605A24"/>
    <w:rsid w:val="40A85E88"/>
    <w:rsid w:val="42A06CC0"/>
    <w:rsid w:val="430F6063"/>
    <w:rsid w:val="43421DB8"/>
    <w:rsid w:val="450E5498"/>
    <w:rsid w:val="4A8C1339"/>
    <w:rsid w:val="4E0D3AC6"/>
    <w:rsid w:val="4F18319B"/>
    <w:rsid w:val="4F6F4222"/>
    <w:rsid w:val="521F1006"/>
    <w:rsid w:val="52837532"/>
    <w:rsid w:val="57B57959"/>
    <w:rsid w:val="59345F96"/>
    <w:rsid w:val="59527FC1"/>
    <w:rsid w:val="5AAF5F9B"/>
    <w:rsid w:val="605F53AD"/>
    <w:rsid w:val="664F30E7"/>
    <w:rsid w:val="66846F11"/>
    <w:rsid w:val="68CA200B"/>
    <w:rsid w:val="6A723138"/>
    <w:rsid w:val="70016574"/>
    <w:rsid w:val="71E53FD2"/>
    <w:rsid w:val="73A17354"/>
    <w:rsid w:val="73E32654"/>
    <w:rsid w:val="75CB1E28"/>
    <w:rsid w:val="76B5375B"/>
    <w:rsid w:val="7AEF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  <w:rPr>
      <w:rFonts w:ascii="等线" w:hAnsi="等线" w:eastAsia="等线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180</Words>
  <Characters>1028</Characters>
  <Lines>8</Lines>
  <Paragraphs>2</Paragraphs>
  <TotalTime>1</TotalTime>
  <ScaleCrop>false</ScaleCrop>
  <LinksUpToDate>false</LinksUpToDate>
  <CharactersWithSpaces>1206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2018-01-17T03:12:00Z</dcterms:created>
  <dc:creator>Microsoft</dc:creator>
  <cp:lastModifiedBy>爱晒太阳的达达兔</cp:lastModifiedBy>
  <dcterms:modified xsi:type="dcterms:W3CDTF">2022-01-26T08:16:51Z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0E4C408A3F374A25A51D0D4B55B4338F</vt:lpwstr>
  </property>
</Properties>
</file>