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auto"/>
        <w:jc w:val="center"/>
        <w:rPr>
          <w:rFonts w:hint="eastAsia" w:ascii="仿宋" w:hAnsi="仿宋" w:eastAsia="仿宋"/>
          <w:color w:val="222222"/>
          <w:sz w:val="28"/>
          <w:szCs w:val="28"/>
        </w:rPr>
      </w:pPr>
      <w:r>
        <w:rPr>
          <w:rStyle w:val="6"/>
          <w:rFonts w:hint="eastAsia" w:ascii="仿宋" w:hAnsi="仿宋" w:eastAsia="仿宋"/>
          <w:b/>
          <w:bCs/>
          <w:color w:val="222222"/>
          <w:sz w:val="32"/>
          <w:szCs w:val="32"/>
        </w:rPr>
        <w:t>新闻与传播专业学位</w:t>
      </w:r>
      <w:r>
        <w:rPr>
          <w:rFonts w:hint="eastAsia" w:ascii="仿宋" w:hAnsi="仿宋" w:eastAsia="仿宋"/>
          <w:b/>
          <w:bCs/>
          <w:color w:val="222222"/>
          <w:sz w:val="32"/>
          <w:szCs w:val="32"/>
        </w:rPr>
        <w:t>专项合格评估指标体系</w:t>
      </w:r>
    </w:p>
    <w:tbl>
      <w:tblPr>
        <w:tblStyle w:val="4"/>
        <w:tblpPr w:leftFromText="180" w:rightFromText="180" w:vertAnchor="text" w:horzAnchor="page" w:tblpX="1792" w:tblpY="728"/>
        <w:tblOverlap w:val="never"/>
        <w:tblW w:w="89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877"/>
        <w:gridCol w:w="1958"/>
        <w:gridCol w:w="50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5" w:hRule="atLeast"/>
        </w:trPr>
        <w:tc>
          <w:tcPr>
            <w:tcW w:w="988" w:type="dxa"/>
            <w:vAlign w:val="center"/>
          </w:tcPr>
          <w:p>
            <w:pPr>
              <w:widowControl/>
              <w:jc w:val="center"/>
              <w:rPr>
                <w:rFonts w:ascii="宋体" w:hAnsi="宋体" w:eastAsia="宋体" w:cs="Times New Roman"/>
                <w:kern w:val="0"/>
                <w:sz w:val="24"/>
                <w:szCs w:val="24"/>
              </w:rPr>
            </w:pPr>
            <w:r>
              <w:rPr>
                <w:rFonts w:hint="eastAsia" w:ascii="宋体" w:hAnsi="宋体" w:eastAsia="宋体" w:cs="Times New Roman"/>
                <w:kern w:val="0"/>
                <w:sz w:val="24"/>
                <w:szCs w:val="24"/>
              </w:rPr>
              <w:t>一级</w:t>
            </w:r>
          </w:p>
          <w:p>
            <w:pPr>
              <w:widowControl/>
              <w:jc w:val="center"/>
              <w:rPr>
                <w:rFonts w:ascii="宋体" w:hAnsi="宋体" w:eastAsia="宋体" w:cs="Times New Roman"/>
                <w:kern w:val="0"/>
                <w:sz w:val="24"/>
                <w:szCs w:val="24"/>
              </w:rPr>
            </w:pPr>
            <w:r>
              <w:rPr>
                <w:rFonts w:hint="eastAsia" w:ascii="宋体" w:hAnsi="宋体" w:eastAsia="宋体" w:cs="Times New Roman"/>
                <w:kern w:val="0"/>
                <w:sz w:val="24"/>
                <w:szCs w:val="24"/>
              </w:rPr>
              <w:t>指标</w:t>
            </w:r>
          </w:p>
        </w:tc>
        <w:tc>
          <w:tcPr>
            <w:tcW w:w="877" w:type="dxa"/>
            <w:shd w:val="clear" w:color="auto" w:fill="auto"/>
            <w:vAlign w:val="center"/>
          </w:tcPr>
          <w:p>
            <w:pPr>
              <w:widowControl/>
              <w:jc w:val="center"/>
              <w:rPr>
                <w:rFonts w:ascii="宋体" w:hAnsi="宋体" w:eastAsia="宋体" w:cs="Times New Roman"/>
                <w:kern w:val="0"/>
                <w:sz w:val="24"/>
                <w:szCs w:val="24"/>
              </w:rPr>
            </w:pPr>
            <w:r>
              <w:rPr>
                <w:rFonts w:ascii="宋体" w:hAnsi="宋体" w:eastAsia="宋体" w:cs="Times New Roman"/>
                <w:kern w:val="0"/>
                <w:sz w:val="24"/>
                <w:szCs w:val="24"/>
              </w:rPr>
              <w:t>二级</w:t>
            </w:r>
          </w:p>
          <w:p>
            <w:pPr>
              <w:widowControl/>
              <w:jc w:val="center"/>
              <w:rPr>
                <w:rFonts w:ascii="宋体" w:hAnsi="宋体" w:eastAsia="宋体" w:cs="Times New Roman"/>
                <w:kern w:val="0"/>
                <w:sz w:val="24"/>
                <w:szCs w:val="24"/>
              </w:rPr>
            </w:pPr>
            <w:r>
              <w:rPr>
                <w:rFonts w:ascii="宋体" w:hAnsi="宋体" w:eastAsia="宋体" w:cs="Times New Roman"/>
                <w:kern w:val="0"/>
                <w:sz w:val="24"/>
                <w:szCs w:val="24"/>
              </w:rPr>
              <w:t>指标</w:t>
            </w:r>
          </w:p>
        </w:tc>
        <w:tc>
          <w:tcPr>
            <w:tcW w:w="1958" w:type="dxa"/>
            <w:shd w:val="clear" w:color="auto" w:fill="auto"/>
            <w:vAlign w:val="center"/>
          </w:tcPr>
          <w:p>
            <w:pPr>
              <w:widowControl/>
              <w:jc w:val="center"/>
              <w:rPr>
                <w:rFonts w:ascii="宋体" w:hAnsi="宋体" w:eastAsia="宋体" w:cs="Times New Roman"/>
                <w:kern w:val="0"/>
                <w:sz w:val="24"/>
                <w:szCs w:val="24"/>
              </w:rPr>
            </w:pPr>
            <w:r>
              <w:rPr>
                <w:rFonts w:ascii="宋体" w:hAnsi="宋体" w:eastAsia="宋体" w:cs="Times New Roman"/>
                <w:kern w:val="0"/>
                <w:sz w:val="24"/>
                <w:szCs w:val="24"/>
              </w:rPr>
              <w:t>考评点</w:t>
            </w:r>
          </w:p>
        </w:tc>
        <w:tc>
          <w:tcPr>
            <w:tcW w:w="5096" w:type="dxa"/>
            <w:shd w:val="clear" w:color="auto" w:fill="auto"/>
            <w:noWrap/>
            <w:vAlign w:val="center"/>
          </w:tcPr>
          <w:p>
            <w:pPr>
              <w:widowControl/>
              <w:jc w:val="center"/>
              <w:rPr>
                <w:rFonts w:ascii="宋体" w:hAnsi="宋体" w:eastAsia="宋体" w:cs="Times New Roman"/>
                <w:kern w:val="0"/>
                <w:sz w:val="24"/>
                <w:szCs w:val="24"/>
              </w:rPr>
            </w:pPr>
            <w:r>
              <w:rPr>
                <w:rFonts w:ascii="宋体" w:hAnsi="宋体" w:eastAsia="宋体" w:cs="Times New Roman"/>
                <w:kern w:val="0"/>
                <w:sz w:val="24"/>
                <w:szCs w:val="24"/>
              </w:rPr>
              <w:t>评估合格参考标准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988" w:type="dxa"/>
            <w:vMerge w:val="restart"/>
            <w:vAlign w:val="center"/>
          </w:tcPr>
          <w:p>
            <w:pPr>
              <w:widowControl/>
              <w:jc w:val="center"/>
              <w:rPr>
                <w:rFonts w:ascii="宋体" w:hAnsi="宋体" w:eastAsia="宋体" w:cs="Times New Roman"/>
                <w:kern w:val="0"/>
                <w:sz w:val="24"/>
                <w:szCs w:val="24"/>
              </w:rPr>
            </w:pPr>
            <w:r>
              <w:rPr>
                <w:rFonts w:hint="eastAsia" w:ascii="宋体" w:hAnsi="宋体" w:eastAsia="宋体" w:cs="Times New Roman"/>
                <w:kern w:val="0"/>
                <w:sz w:val="24"/>
                <w:szCs w:val="24"/>
              </w:rPr>
              <w:t>师资</w:t>
            </w:r>
          </w:p>
          <w:p>
            <w:pPr>
              <w:widowControl/>
              <w:jc w:val="center"/>
              <w:rPr>
                <w:rFonts w:ascii="宋体" w:hAnsi="宋体" w:eastAsia="宋体" w:cs="Times New Roman"/>
                <w:kern w:val="0"/>
                <w:sz w:val="24"/>
                <w:szCs w:val="24"/>
              </w:rPr>
            </w:pPr>
            <w:r>
              <w:rPr>
                <w:rFonts w:hint="eastAsia" w:ascii="宋体" w:hAnsi="宋体" w:eastAsia="宋体" w:cs="Times New Roman"/>
                <w:kern w:val="0"/>
                <w:sz w:val="24"/>
                <w:szCs w:val="24"/>
              </w:rPr>
              <w:t>队伍</w:t>
            </w:r>
          </w:p>
        </w:tc>
        <w:tc>
          <w:tcPr>
            <w:tcW w:w="877" w:type="dxa"/>
            <w:vMerge w:val="restart"/>
            <w:shd w:val="clear" w:color="auto" w:fill="auto"/>
            <w:vAlign w:val="center"/>
          </w:tcPr>
          <w:p>
            <w:pPr>
              <w:widowControl/>
              <w:jc w:val="center"/>
              <w:rPr>
                <w:rFonts w:ascii="宋体" w:hAnsi="宋体" w:eastAsia="宋体" w:cs="Times New Roman"/>
                <w:kern w:val="0"/>
                <w:sz w:val="24"/>
                <w:szCs w:val="24"/>
              </w:rPr>
            </w:pPr>
            <w:r>
              <w:rPr>
                <w:rFonts w:ascii="宋体" w:hAnsi="宋体" w:eastAsia="宋体" w:cs="Times New Roman"/>
                <w:kern w:val="0"/>
                <w:sz w:val="24"/>
                <w:szCs w:val="24"/>
              </w:rPr>
              <w:t>师资</w:t>
            </w:r>
          </w:p>
          <w:p>
            <w:pPr>
              <w:widowControl/>
              <w:jc w:val="center"/>
              <w:rPr>
                <w:rFonts w:ascii="宋体" w:hAnsi="宋体" w:eastAsia="宋体" w:cs="Times New Roman"/>
                <w:kern w:val="0"/>
                <w:sz w:val="24"/>
                <w:szCs w:val="24"/>
              </w:rPr>
            </w:pPr>
            <w:r>
              <w:rPr>
                <w:rFonts w:ascii="宋体" w:hAnsi="宋体" w:eastAsia="宋体" w:cs="Times New Roman"/>
                <w:kern w:val="0"/>
                <w:sz w:val="24"/>
                <w:szCs w:val="24"/>
              </w:rPr>
              <w:t>结构</w:t>
            </w:r>
          </w:p>
          <w:p>
            <w:pPr>
              <w:widowControl/>
              <w:jc w:val="center"/>
              <w:rPr>
                <w:rFonts w:ascii="宋体" w:hAnsi="宋体" w:eastAsia="宋体" w:cs="Times New Roman"/>
                <w:kern w:val="0"/>
                <w:sz w:val="24"/>
                <w:szCs w:val="24"/>
              </w:rPr>
            </w:pPr>
          </w:p>
        </w:tc>
        <w:tc>
          <w:tcPr>
            <w:tcW w:w="1958" w:type="dxa"/>
            <w:shd w:val="clear" w:color="auto" w:fill="auto"/>
            <w:vAlign w:val="center"/>
          </w:tcPr>
          <w:p>
            <w:pPr>
              <w:widowControl/>
              <w:jc w:val="center"/>
              <w:rPr>
                <w:rFonts w:ascii="宋体" w:hAnsi="宋体" w:eastAsia="宋体" w:cs="Times New Roman"/>
                <w:kern w:val="0"/>
                <w:sz w:val="24"/>
                <w:szCs w:val="24"/>
              </w:rPr>
            </w:pPr>
            <w:r>
              <w:rPr>
                <w:rFonts w:ascii="宋体" w:hAnsi="宋体" w:eastAsia="宋体" w:cs="Times New Roman"/>
                <w:kern w:val="0"/>
                <w:sz w:val="24"/>
                <w:szCs w:val="24"/>
              </w:rPr>
              <w:t>来源构成</w:t>
            </w:r>
          </w:p>
        </w:tc>
        <w:tc>
          <w:tcPr>
            <w:tcW w:w="5096" w:type="dxa"/>
            <w:shd w:val="clear" w:color="auto" w:fill="auto"/>
            <w:vAlign w:val="center"/>
          </w:tcPr>
          <w:p>
            <w:pPr>
              <w:widowControl/>
              <w:jc w:val="left"/>
              <w:rPr>
                <w:rFonts w:ascii="宋体" w:hAnsi="宋体" w:eastAsia="宋体" w:cs="Times New Roman"/>
                <w:kern w:val="0"/>
                <w:sz w:val="24"/>
                <w:szCs w:val="24"/>
              </w:rPr>
            </w:pPr>
            <w:r>
              <w:rPr>
                <w:rFonts w:ascii="宋体" w:hAnsi="宋体" w:eastAsia="宋体" w:cs="Times New Roman"/>
                <w:kern w:val="0"/>
                <w:sz w:val="24"/>
                <w:szCs w:val="24"/>
              </w:rPr>
              <w:t>教师队伍应由学界和业界的教师共同构成，有媒体工作经历的教师及在业界聘请的教师应不少于40%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988" w:type="dxa"/>
            <w:vMerge w:val="continue"/>
            <w:vAlign w:val="center"/>
          </w:tcPr>
          <w:p>
            <w:pPr>
              <w:widowControl/>
              <w:jc w:val="left"/>
              <w:rPr>
                <w:rFonts w:ascii="宋体" w:hAnsi="宋体" w:eastAsia="宋体" w:cs="Times New Roman"/>
                <w:kern w:val="0"/>
                <w:sz w:val="24"/>
                <w:szCs w:val="24"/>
              </w:rPr>
            </w:pPr>
          </w:p>
        </w:tc>
        <w:tc>
          <w:tcPr>
            <w:tcW w:w="877" w:type="dxa"/>
            <w:vMerge w:val="continue"/>
            <w:vAlign w:val="center"/>
          </w:tcPr>
          <w:p>
            <w:pPr>
              <w:widowControl/>
              <w:jc w:val="left"/>
              <w:rPr>
                <w:rFonts w:ascii="宋体" w:hAnsi="宋体" w:eastAsia="宋体" w:cs="Times New Roman"/>
                <w:kern w:val="0"/>
                <w:sz w:val="24"/>
                <w:szCs w:val="24"/>
              </w:rPr>
            </w:pPr>
          </w:p>
        </w:tc>
        <w:tc>
          <w:tcPr>
            <w:tcW w:w="1958" w:type="dxa"/>
            <w:shd w:val="clear" w:color="auto" w:fill="auto"/>
            <w:vAlign w:val="center"/>
          </w:tcPr>
          <w:p>
            <w:pPr>
              <w:widowControl/>
              <w:jc w:val="center"/>
              <w:rPr>
                <w:rFonts w:ascii="宋体" w:hAnsi="宋体" w:eastAsia="宋体" w:cs="Times New Roman"/>
                <w:kern w:val="0"/>
                <w:sz w:val="24"/>
                <w:szCs w:val="24"/>
              </w:rPr>
            </w:pPr>
            <w:r>
              <w:rPr>
                <w:rFonts w:ascii="宋体" w:hAnsi="宋体" w:eastAsia="宋体" w:cs="Times New Roman"/>
                <w:kern w:val="0"/>
                <w:sz w:val="24"/>
                <w:szCs w:val="24"/>
              </w:rPr>
              <w:t>职称结构</w:t>
            </w:r>
          </w:p>
        </w:tc>
        <w:tc>
          <w:tcPr>
            <w:tcW w:w="5096" w:type="dxa"/>
            <w:shd w:val="clear" w:color="auto" w:fill="auto"/>
            <w:vAlign w:val="center"/>
          </w:tcPr>
          <w:p>
            <w:pPr>
              <w:widowControl/>
              <w:jc w:val="left"/>
              <w:rPr>
                <w:rFonts w:ascii="宋体" w:hAnsi="宋体" w:eastAsia="宋体" w:cs="Times New Roman"/>
                <w:kern w:val="0"/>
                <w:sz w:val="24"/>
                <w:szCs w:val="24"/>
              </w:rPr>
            </w:pPr>
            <w:r>
              <w:rPr>
                <w:rFonts w:ascii="宋体" w:hAnsi="宋体" w:eastAsia="宋体" w:cs="Times New Roman"/>
                <w:kern w:val="0"/>
                <w:sz w:val="24"/>
                <w:szCs w:val="24"/>
              </w:rPr>
              <w:t>1)教授人数（或相当专业技术职务）人数占比（原则上应在10％以上）；2)副教授人数（或相当专业技术职务）人数占比（原则上应在20％以上）。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988" w:type="dxa"/>
            <w:vMerge w:val="continue"/>
            <w:vAlign w:val="center"/>
          </w:tcPr>
          <w:p>
            <w:pPr>
              <w:widowControl/>
              <w:jc w:val="left"/>
              <w:rPr>
                <w:rFonts w:ascii="宋体" w:hAnsi="宋体" w:eastAsia="宋体" w:cs="Times New Roman"/>
                <w:kern w:val="0"/>
                <w:sz w:val="24"/>
                <w:szCs w:val="24"/>
              </w:rPr>
            </w:pPr>
          </w:p>
        </w:tc>
        <w:tc>
          <w:tcPr>
            <w:tcW w:w="877" w:type="dxa"/>
            <w:vMerge w:val="continue"/>
            <w:vAlign w:val="center"/>
          </w:tcPr>
          <w:p>
            <w:pPr>
              <w:widowControl/>
              <w:jc w:val="left"/>
              <w:rPr>
                <w:rFonts w:ascii="宋体" w:hAnsi="宋体" w:eastAsia="宋体" w:cs="Times New Roman"/>
                <w:kern w:val="0"/>
                <w:sz w:val="24"/>
                <w:szCs w:val="24"/>
              </w:rPr>
            </w:pPr>
          </w:p>
        </w:tc>
        <w:tc>
          <w:tcPr>
            <w:tcW w:w="1958" w:type="dxa"/>
            <w:shd w:val="clear" w:color="auto" w:fill="auto"/>
            <w:vAlign w:val="center"/>
          </w:tcPr>
          <w:p>
            <w:pPr>
              <w:widowControl/>
              <w:jc w:val="center"/>
              <w:rPr>
                <w:rFonts w:ascii="宋体" w:hAnsi="宋体" w:eastAsia="宋体" w:cs="Times New Roman"/>
                <w:kern w:val="0"/>
                <w:sz w:val="24"/>
                <w:szCs w:val="24"/>
              </w:rPr>
            </w:pPr>
            <w:r>
              <w:rPr>
                <w:rFonts w:ascii="宋体" w:hAnsi="宋体" w:eastAsia="宋体" w:cs="Times New Roman"/>
                <w:kern w:val="0"/>
                <w:sz w:val="24"/>
                <w:szCs w:val="24"/>
              </w:rPr>
              <w:t>学历结构</w:t>
            </w:r>
          </w:p>
        </w:tc>
        <w:tc>
          <w:tcPr>
            <w:tcW w:w="5096" w:type="dxa"/>
            <w:shd w:val="clear" w:color="auto" w:fill="auto"/>
            <w:vAlign w:val="center"/>
          </w:tcPr>
          <w:p>
            <w:pPr>
              <w:widowControl/>
              <w:jc w:val="left"/>
              <w:rPr>
                <w:rFonts w:ascii="宋体" w:hAnsi="宋体" w:eastAsia="宋体" w:cs="Times New Roman"/>
                <w:kern w:val="0"/>
                <w:sz w:val="24"/>
                <w:szCs w:val="24"/>
              </w:rPr>
            </w:pPr>
            <w:r>
              <w:rPr>
                <w:rFonts w:ascii="宋体" w:hAnsi="宋体" w:eastAsia="宋体" w:cs="Times New Roman"/>
                <w:kern w:val="0"/>
                <w:sz w:val="24"/>
                <w:szCs w:val="24"/>
              </w:rPr>
              <w:t>1)具有博士学位人数占比（原则上在40％以上）；2)具有硕士学位人数占比（原则上在60％以上）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988" w:type="dxa"/>
            <w:vMerge w:val="continue"/>
            <w:vAlign w:val="center"/>
          </w:tcPr>
          <w:p>
            <w:pPr>
              <w:widowControl/>
              <w:jc w:val="left"/>
              <w:rPr>
                <w:rFonts w:ascii="宋体" w:hAnsi="宋体" w:eastAsia="宋体" w:cs="Times New Roman"/>
                <w:kern w:val="0"/>
                <w:sz w:val="24"/>
                <w:szCs w:val="24"/>
              </w:rPr>
            </w:pPr>
          </w:p>
        </w:tc>
        <w:tc>
          <w:tcPr>
            <w:tcW w:w="877" w:type="dxa"/>
            <w:vMerge w:val="continue"/>
            <w:vAlign w:val="center"/>
          </w:tcPr>
          <w:p>
            <w:pPr>
              <w:widowControl/>
              <w:jc w:val="left"/>
              <w:rPr>
                <w:rFonts w:ascii="宋体" w:hAnsi="宋体" w:eastAsia="宋体" w:cs="Times New Roman"/>
                <w:kern w:val="0"/>
                <w:sz w:val="24"/>
                <w:szCs w:val="24"/>
              </w:rPr>
            </w:pPr>
          </w:p>
        </w:tc>
        <w:tc>
          <w:tcPr>
            <w:tcW w:w="1958" w:type="dxa"/>
            <w:shd w:val="clear" w:color="auto" w:fill="auto"/>
            <w:vAlign w:val="center"/>
          </w:tcPr>
          <w:p>
            <w:pPr>
              <w:widowControl/>
              <w:jc w:val="center"/>
              <w:rPr>
                <w:rFonts w:ascii="宋体" w:hAnsi="宋体" w:eastAsia="宋体" w:cs="Times New Roman"/>
                <w:kern w:val="0"/>
                <w:sz w:val="24"/>
                <w:szCs w:val="24"/>
              </w:rPr>
            </w:pPr>
            <w:r>
              <w:rPr>
                <w:rFonts w:ascii="宋体" w:hAnsi="宋体" w:eastAsia="宋体" w:cs="Times New Roman"/>
                <w:kern w:val="0"/>
                <w:sz w:val="24"/>
                <w:szCs w:val="24"/>
              </w:rPr>
              <w:t>知识结构</w:t>
            </w:r>
          </w:p>
        </w:tc>
        <w:tc>
          <w:tcPr>
            <w:tcW w:w="5096" w:type="dxa"/>
            <w:shd w:val="clear" w:color="auto" w:fill="auto"/>
            <w:vAlign w:val="center"/>
          </w:tcPr>
          <w:p>
            <w:pPr>
              <w:widowControl/>
              <w:jc w:val="left"/>
              <w:rPr>
                <w:rFonts w:ascii="宋体" w:hAnsi="宋体" w:eastAsia="宋体" w:cs="Times New Roman"/>
                <w:kern w:val="0"/>
                <w:sz w:val="24"/>
                <w:szCs w:val="24"/>
              </w:rPr>
            </w:pPr>
            <w:r>
              <w:rPr>
                <w:rFonts w:ascii="宋体" w:hAnsi="宋体" w:eastAsia="宋体" w:cs="Times New Roman"/>
                <w:kern w:val="0"/>
                <w:sz w:val="24"/>
                <w:szCs w:val="24"/>
              </w:rPr>
              <w:t>1)授课教师应具有多学科、多专业知识背景，能胜任媒介融合环境下新闻传播专业人才培养需求；2)理论课教师与实务课教师人数比例原则应在1：1。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988" w:type="dxa"/>
            <w:vMerge w:val="continue"/>
            <w:vAlign w:val="center"/>
          </w:tcPr>
          <w:p>
            <w:pPr>
              <w:widowControl/>
              <w:jc w:val="center"/>
              <w:rPr>
                <w:rFonts w:ascii="宋体" w:hAnsi="宋体" w:eastAsia="宋体" w:cs="Times New Roman"/>
                <w:kern w:val="0"/>
                <w:sz w:val="24"/>
                <w:szCs w:val="24"/>
              </w:rPr>
            </w:pPr>
          </w:p>
        </w:tc>
        <w:tc>
          <w:tcPr>
            <w:tcW w:w="877" w:type="dxa"/>
            <w:vMerge w:val="restart"/>
            <w:shd w:val="clear" w:color="auto" w:fill="auto"/>
            <w:vAlign w:val="center"/>
          </w:tcPr>
          <w:p>
            <w:pPr>
              <w:widowControl/>
              <w:jc w:val="center"/>
              <w:rPr>
                <w:rFonts w:ascii="宋体" w:hAnsi="宋体" w:eastAsia="宋体" w:cs="Times New Roman"/>
                <w:kern w:val="0"/>
                <w:sz w:val="24"/>
                <w:szCs w:val="24"/>
              </w:rPr>
            </w:pPr>
            <w:r>
              <w:rPr>
                <w:rFonts w:ascii="宋体" w:hAnsi="宋体" w:eastAsia="宋体" w:cs="Times New Roman"/>
                <w:kern w:val="0"/>
                <w:sz w:val="24"/>
                <w:szCs w:val="24"/>
              </w:rPr>
              <w:t>导师</w:t>
            </w:r>
          </w:p>
          <w:p>
            <w:pPr>
              <w:widowControl/>
              <w:jc w:val="center"/>
              <w:rPr>
                <w:rFonts w:ascii="宋体" w:hAnsi="宋体" w:eastAsia="宋体" w:cs="Times New Roman"/>
                <w:kern w:val="0"/>
                <w:sz w:val="24"/>
                <w:szCs w:val="24"/>
              </w:rPr>
            </w:pPr>
            <w:r>
              <w:rPr>
                <w:rFonts w:ascii="宋体" w:hAnsi="宋体" w:eastAsia="宋体" w:cs="Times New Roman"/>
                <w:kern w:val="0"/>
                <w:sz w:val="24"/>
                <w:szCs w:val="24"/>
              </w:rPr>
              <w:t>水平</w:t>
            </w:r>
          </w:p>
          <w:p>
            <w:pPr>
              <w:widowControl/>
              <w:jc w:val="center"/>
              <w:rPr>
                <w:rFonts w:ascii="宋体" w:hAnsi="宋体" w:eastAsia="宋体" w:cs="Times New Roman"/>
                <w:kern w:val="0"/>
                <w:sz w:val="24"/>
                <w:szCs w:val="24"/>
              </w:rPr>
            </w:pPr>
          </w:p>
        </w:tc>
        <w:tc>
          <w:tcPr>
            <w:tcW w:w="1958" w:type="dxa"/>
            <w:shd w:val="clear" w:color="auto" w:fill="auto"/>
            <w:vAlign w:val="center"/>
          </w:tcPr>
          <w:p>
            <w:pPr>
              <w:widowControl/>
              <w:jc w:val="center"/>
              <w:rPr>
                <w:rFonts w:ascii="宋体" w:hAnsi="宋体" w:eastAsia="宋体" w:cs="Times New Roman"/>
                <w:kern w:val="0"/>
                <w:sz w:val="24"/>
                <w:szCs w:val="24"/>
              </w:rPr>
            </w:pPr>
            <w:r>
              <w:rPr>
                <w:rFonts w:ascii="宋体" w:hAnsi="宋体" w:eastAsia="宋体" w:cs="Times New Roman"/>
                <w:kern w:val="0"/>
                <w:sz w:val="24"/>
                <w:szCs w:val="24"/>
              </w:rPr>
              <w:t>职业与政治素</w:t>
            </w:r>
            <w:bookmarkStart w:id="0" w:name="_GoBack"/>
            <w:bookmarkEnd w:id="0"/>
            <w:r>
              <w:rPr>
                <w:rFonts w:ascii="宋体" w:hAnsi="宋体" w:eastAsia="宋体" w:cs="Times New Roman"/>
                <w:kern w:val="0"/>
                <w:sz w:val="24"/>
                <w:szCs w:val="24"/>
              </w:rPr>
              <w:t>养</w:t>
            </w:r>
          </w:p>
        </w:tc>
        <w:tc>
          <w:tcPr>
            <w:tcW w:w="5096" w:type="dxa"/>
            <w:shd w:val="clear" w:color="auto" w:fill="auto"/>
            <w:vAlign w:val="center"/>
          </w:tcPr>
          <w:p>
            <w:pPr>
              <w:widowControl/>
              <w:jc w:val="left"/>
              <w:rPr>
                <w:rFonts w:ascii="宋体" w:hAnsi="宋体" w:eastAsia="宋体" w:cs="Times New Roman"/>
                <w:kern w:val="0"/>
                <w:sz w:val="24"/>
                <w:szCs w:val="24"/>
              </w:rPr>
            </w:pPr>
            <w:r>
              <w:rPr>
                <w:rFonts w:ascii="宋体" w:hAnsi="宋体" w:eastAsia="宋体" w:cs="Times New Roman"/>
                <w:kern w:val="0"/>
                <w:sz w:val="24"/>
                <w:szCs w:val="24"/>
              </w:rPr>
              <w:t>1)无重大教学事故或其他工作责任事故；2)具有较高的政治素养与新闻职业素养，坚持马克思主义新闻观，工作认真负责，学术思想端正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988" w:type="dxa"/>
            <w:vMerge w:val="continue"/>
            <w:vAlign w:val="center"/>
          </w:tcPr>
          <w:p>
            <w:pPr>
              <w:widowControl/>
              <w:jc w:val="left"/>
              <w:rPr>
                <w:rFonts w:ascii="宋体" w:hAnsi="宋体" w:eastAsia="宋体" w:cs="Times New Roman"/>
                <w:kern w:val="0"/>
                <w:sz w:val="24"/>
                <w:szCs w:val="24"/>
              </w:rPr>
            </w:pPr>
          </w:p>
        </w:tc>
        <w:tc>
          <w:tcPr>
            <w:tcW w:w="877" w:type="dxa"/>
            <w:vMerge w:val="continue"/>
            <w:vAlign w:val="center"/>
          </w:tcPr>
          <w:p>
            <w:pPr>
              <w:widowControl/>
              <w:jc w:val="left"/>
              <w:rPr>
                <w:rFonts w:ascii="宋体" w:hAnsi="宋体" w:eastAsia="宋体" w:cs="Times New Roman"/>
                <w:kern w:val="0"/>
                <w:sz w:val="24"/>
                <w:szCs w:val="24"/>
              </w:rPr>
            </w:pPr>
          </w:p>
        </w:tc>
        <w:tc>
          <w:tcPr>
            <w:tcW w:w="1958" w:type="dxa"/>
            <w:shd w:val="clear" w:color="auto" w:fill="auto"/>
            <w:vAlign w:val="center"/>
          </w:tcPr>
          <w:p>
            <w:pPr>
              <w:widowControl/>
              <w:jc w:val="center"/>
              <w:rPr>
                <w:rFonts w:ascii="宋体" w:hAnsi="宋体" w:eastAsia="宋体" w:cs="Times New Roman"/>
                <w:kern w:val="0"/>
                <w:sz w:val="24"/>
                <w:szCs w:val="24"/>
              </w:rPr>
            </w:pPr>
            <w:r>
              <w:rPr>
                <w:rFonts w:ascii="宋体" w:hAnsi="宋体" w:eastAsia="宋体" w:cs="Times New Roman"/>
                <w:kern w:val="0"/>
                <w:sz w:val="24"/>
                <w:szCs w:val="24"/>
              </w:rPr>
              <w:t>导师构成</w:t>
            </w:r>
          </w:p>
        </w:tc>
        <w:tc>
          <w:tcPr>
            <w:tcW w:w="5096" w:type="dxa"/>
            <w:shd w:val="clear" w:color="auto" w:fill="auto"/>
            <w:vAlign w:val="center"/>
          </w:tcPr>
          <w:p>
            <w:pPr>
              <w:widowControl/>
              <w:jc w:val="left"/>
              <w:rPr>
                <w:rFonts w:ascii="宋体" w:hAnsi="宋体" w:eastAsia="宋体" w:cs="Times New Roman"/>
                <w:kern w:val="0"/>
                <w:sz w:val="24"/>
                <w:szCs w:val="24"/>
              </w:rPr>
            </w:pPr>
            <w:r>
              <w:rPr>
                <w:rFonts w:ascii="宋体" w:hAnsi="宋体" w:eastAsia="宋体" w:cs="Times New Roman"/>
                <w:kern w:val="0"/>
                <w:sz w:val="24"/>
                <w:szCs w:val="24"/>
              </w:rPr>
              <w:t>培养单位与企事业单位联合建立“双导师”培养机制，双方人数比例合理；有完善的培养导师工作制度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988" w:type="dxa"/>
            <w:vMerge w:val="continue"/>
            <w:vAlign w:val="center"/>
          </w:tcPr>
          <w:p>
            <w:pPr>
              <w:widowControl/>
              <w:jc w:val="left"/>
              <w:rPr>
                <w:rFonts w:ascii="宋体" w:hAnsi="宋体" w:eastAsia="宋体" w:cs="Times New Roman"/>
                <w:kern w:val="0"/>
                <w:sz w:val="24"/>
                <w:szCs w:val="24"/>
              </w:rPr>
            </w:pPr>
          </w:p>
        </w:tc>
        <w:tc>
          <w:tcPr>
            <w:tcW w:w="877" w:type="dxa"/>
            <w:vMerge w:val="continue"/>
            <w:vAlign w:val="center"/>
          </w:tcPr>
          <w:p>
            <w:pPr>
              <w:widowControl/>
              <w:jc w:val="left"/>
              <w:rPr>
                <w:rFonts w:ascii="宋体" w:hAnsi="宋体" w:eastAsia="宋体" w:cs="Times New Roman"/>
                <w:kern w:val="0"/>
                <w:sz w:val="24"/>
                <w:szCs w:val="24"/>
              </w:rPr>
            </w:pPr>
          </w:p>
        </w:tc>
        <w:tc>
          <w:tcPr>
            <w:tcW w:w="1958" w:type="dxa"/>
            <w:shd w:val="clear" w:color="auto" w:fill="auto"/>
            <w:vAlign w:val="center"/>
          </w:tcPr>
          <w:p>
            <w:pPr>
              <w:widowControl/>
              <w:jc w:val="center"/>
              <w:rPr>
                <w:rFonts w:ascii="宋体" w:hAnsi="宋体" w:eastAsia="宋体" w:cs="Times New Roman"/>
                <w:kern w:val="0"/>
                <w:sz w:val="24"/>
                <w:szCs w:val="24"/>
              </w:rPr>
            </w:pPr>
            <w:r>
              <w:rPr>
                <w:rFonts w:ascii="宋体" w:hAnsi="宋体" w:eastAsia="宋体" w:cs="Times New Roman"/>
                <w:kern w:val="0"/>
                <w:sz w:val="24"/>
                <w:szCs w:val="24"/>
              </w:rPr>
              <w:t>导师职称</w:t>
            </w:r>
          </w:p>
        </w:tc>
        <w:tc>
          <w:tcPr>
            <w:tcW w:w="5096" w:type="dxa"/>
            <w:shd w:val="clear" w:color="auto" w:fill="auto"/>
            <w:vAlign w:val="center"/>
          </w:tcPr>
          <w:p>
            <w:pPr>
              <w:widowControl/>
              <w:jc w:val="left"/>
              <w:rPr>
                <w:rFonts w:ascii="宋体" w:hAnsi="宋体" w:eastAsia="宋体" w:cs="Times New Roman"/>
                <w:kern w:val="0"/>
                <w:sz w:val="24"/>
                <w:szCs w:val="24"/>
              </w:rPr>
            </w:pPr>
            <w:r>
              <w:rPr>
                <w:rFonts w:ascii="宋体" w:hAnsi="宋体" w:eastAsia="宋体" w:cs="Times New Roman"/>
                <w:kern w:val="0"/>
                <w:sz w:val="24"/>
                <w:szCs w:val="24"/>
              </w:rPr>
              <w:t>至少有5名以上具备指导硕士研究生水平和能力的教授、副教授（或相当专业技术职务者），其中至少有2人为60岁以下教授（或相当专业技术职务者）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988" w:type="dxa"/>
            <w:vMerge w:val="continue"/>
            <w:vAlign w:val="center"/>
          </w:tcPr>
          <w:p>
            <w:pPr>
              <w:widowControl/>
              <w:jc w:val="left"/>
              <w:rPr>
                <w:rFonts w:ascii="宋体" w:hAnsi="宋体" w:eastAsia="宋体" w:cs="Times New Roman"/>
                <w:kern w:val="0"/>
                <w:sz w:val="24"/>
                <w:szCs w:val="24"/>
              </w:rPr>
            </w:pPr>
          </w:p>
        </w:tc>
        <w:tc>
          <w:tcPr>
            <w:tcW w:w="877" w:type="dxa"/>
            <w:vMerge w:val="continue"/>
            <w:vAlign w:val="center"/>
          </w:tcPr>
          <w:p>
            <w:pPr>
              <w:widowControl/>
              <w:jc w:val="left"/>
              <w:rPr>
                <w:rFonts w:ascii="宋体" w:hAnsi="宋体" w:eastAsia="宋体" w:cs="Times New Roman"/>
                <w:kern w:val="0"/>
                <w:sz w:val="24"/>
                <w:szCs w:val="24"/>
              </w:rPr>
            </w:pPr>
          </w:p>
        </w:tc>
        <w:tc>
          <w:tcPr>
            <w:tcW w:w="1958" w:type="dxa"/>
            <w:shd w:val="clear" w:color="auto" w:fill="auto"/>
            <w:vAlign w:val="center"/>
          </w:tcPr>
          <w:p>
            <w:pPr>
              <w:widowControl/>
              <w:jc w:val="center"/>
              <w:rPr>
                <w:rFonts w:ascii="宋体" w:hAnsi="宋体" w:eastAsia="宋体" w:cs="Times New Roman"/>
                <w:kern w:val="0"/>
                <w:sz w:val="24"/>
                <w:szCs w:val="24"/>
              </w:rPr>
            </w:pPr>
            <w:r>
              <w:rPr>
                <w:rFonts w:ascii="宋体" w:hAnsi="宋体" w:eastAsia="宋体" w:cs="Times New Roman"/>
                <w:kern w:val="0"/>
                <w:sz w:val="24"/>
                <w:szCs w:val="24"/>
              </w:rPr>
              <w:t>导师学历</w:t>
            </w:r>
          </w:p>
        </w:tc>
        <w:tc>
          <w:tcPr>
            <w:tcW w:w="5096" w:type="dxa"/>
            <w:shd w:val="clear" w:color="auto" w:fill="auto"/>
            <w:vAlign w:val="center"/>
          </w:tcPr>
          <w:p>
            <w:pPr>
              <w:widowControl/>
              <w:jc w:val="left"/>
              <w:rPr>
                <w:rFonts w:ascii="宋体" w:hAnsi="宋体" w:eastAsia="宋体" w:cs="Times New Roman"/>
                <w:kern w:val="0"/>
                <w:sz w:val="24"/>
                <w:szCs w:val="24"/>
              </w:rPr>
            </w:pPr>
            <w:r>
              <w:rPr>
                <w:rFonts w:ascii="宋体" w:hAnsi="宋体" w:eastAsia="宋体" w:cs="Times New Roman"/>
                <w:kern w:val="0"/>
                <w:sz w:val="24"/>
                <w:szCs w:val="24"/>
              </w:rPr>
              <w:t>1)学界导师中，45岁以下的原则上应具有博士学位；55岁以下的原则上应具有硕士及以上学位；　</w:t>
            </w:r>
            <w:r>
              <w:rPr>
                <w:rFonts w:ascii="宋体" w:hAnsi="宋体" w:eastAsia="宋体" w:cs="Times New Roman"/>
                <w:kern w:val="0"/>
                <w:sz w:val="24"/>
                <w:szCs w:val="24"/>
              </w:rPr>
              <w:br w:type="textWrapping"/>
            </w:r>
            <w:r>
              <w:rPr>
                <w:rFonts w:ascii="宋体" w:hAnsi="宋体" w:eastAsia="宋体" w:cs="Times New Roman"/>
                <w:kern w:val="0"/>
                <w:sz w:val="24"/>
                <w:szCs w:val="24"/>
              </w:rPr>
              <w:t>2)业界导师中，45岁以下的原则上应具有硕士学位；55岁以下的原则上应具有本科及以上学历；具有特别丰富的从业经验及较高的职业声望者可放宽限度。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7" w:hRule="atLeast"/>
        </w:trPr>
        <w:tc>
          <w:tcPr>
            <w:tcW w:w="988" w:type="dxa"/>
            <w:vMerge w:val="continue"/>
          </w:tcPr>
          <w:p>
            <w:pPr>
              <w:widowControl/>
              <w:jc w:val="left"/>
              <w:rPr>
                <w:rFonts w:ascii="宋体" w:hAnsi="宋体" w:eastAsia="宋体" w:cs="Times New Roman"/>
                <w:kern w:val="0"/>
                <w:sz w:val="24"/>
                <w:szCs w:val="24"/>
              </w:rPr>
            </w:pPr>
          </w:p>
        </w:tc>
        <w:tc>
          <w:tcPr>
            <w:tcW w:w="877" w:type="dxa"/>
            <w:vMerge w:val="continue"/>
            <w:vAlign w:val="center"/>
          </w:tcPr>
          <w:p>
            <w:pPr>
              <w:widowControl/>
              <w:jc w:val="left"/>
              <w:rPr>
                <w:rFonts w:ascii="宋体" w:hAnsi="宋体" w:eastAsia="宋体" w:cs="Times New Roman"/>
                <w:kern w:val="0"/>
                <w:sz w:val="24"/>
                <w:szCs w:val="24"/>
              </w:rPr>
            </w:pPr>
          </w:p>
        </w:tc>
        <w:tc>
          <w:tcPr>
            <w:tcW w:w="1958" w:type="dxa"/>
            <w:shd w:val="clear" w:color="auto" w:fill="auto"/>
            <w:vAlign w:val="center"/>
          </w:tcPr>
          <w:p>
            <w:pPr>
              <w:widowControl/>
              <w:jc w:val="center"/>
              <w:rPr>
                <w:rFonts w:ascii="宋体" w:hAnsi="宋体" w:eastAsia="宋体" w:cs="Times New Roman"/>
                <w:kern w:val="0"/>
                <w:sz w:val="24"/>
                <w:szCs w:val="24"/>
              </w:rPr>
            </w:pPr>
            <w:r>
              <w:rPr>
                <w:rFonts w:ascii="宋体" w:hAnsi="宋体" w:eastAsia="宋体" w:cs="Times New Roman"/>
                <w:kern w:val="0"/>
                <w:sz w:val="24"/>
                <w:szCs w:val="24"/>
              </w:rPr>
              <w:t>理论与研究水平</w:t>
            </w:r>
          </w:p>
        </w:tc>
        <w:tc>
          <w:tcPr>
            <w:tcW w:w="5096" w:type="dxa"/>
            <w:shd w:val="clear" w:color="auto" w:fill="auto"/>
            <w:vAlign w:val="center"/>
          </w:tcPr>
          <w:p>
            <w:pPr>
              <w:widowControl/>
              <w:jc w:val="left"/>
              <w:rPr>
                <w:rFonts w:ascii="宋体" w:hAnsi="宋体" w:eastAsia="宋体" w:cs="Times New Roman"/>
                <w:kern w:val="0"/>
                <w:sz w:val="24"/>
                <w:szCs w:val="24"/>
              </w:rPr>
            </w:pPr>
            <w:r>
              <w:rPr>
                <w:rFonts w:ascii="宋体" w:hAnsi="宋体" w:eastAsia="宋体" w:cs="Times New Roman"/>
                <w:kern w:val="0"/>
                <w:sz w:val="24"/>
                <w:szCs w:val="24"/>
              </w:rPr>
              <w:t>培养单位的学界导师应：1)具有较强的理论与研究水平，有明确稳定的研究方向；2)近5年内承担国家或省部级科研项目或重大横向课题，所承担的课题应与硕士点的方向一致或接近；3)或近3年内在国内外公开发行的学术刊物上以第一作者或通讯作者身份发表3篇以上高水平学术论文，有公开出版的学术著作或统编教材；4)或获得国家、省部级科研、教学成果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trPr>
        <w:tc>
          <w:tcPr>
            <w:tcW w:w="988" w:type="dxa"/>
            <w:vMerge w:val="continue"/>
          </w:tcPr>
          <w:p>
            <w:pPr>
              <w:widowControl/>
              <w:jc w:val="left"/>
              <w:rPr>
                <w:rFonts w:ascii="宋体" w:hAnsi="宋体" w:eastAsia="宋体" w:cs="Times New Roman"/>
                <w:kern w:val="0"/>
                <w:sz w:val="24"/>
                <w:szCs w:val="24"/>
              </w:rPr>
            </w:pPr>
          </w:p>
        </w:tc>
        <w:tc>
          <w:tcPr>
            <w:tcW w:w="877" w:type="dxa"/>
            <w:vMerge w:val="continue"/>
            <w:vAlign w:val="center"/>
          </w:tcPr>
          <w:p>
            <w:pPr>
              <w:widowControl/>
              <w:jc w:val="left"/>
              <w:rPr>
                <w:rFonts w:ascii="宋体" w:hAnsi="宋体" w:eastAsia="宋体" w:cs="Times New Roman"/>
                <w:kern w:val="0"/>
                <w:sz w:val="24"/>
                <w:szCs w:val="24"/>
              </w:rPr>
            </w:pPr>
          </w:p>
        </w:tc>
        <w:tc>
          <w:tcPr>
            <w:tcW w:w="1958" w:type="dxa"/>
            <w:shd w:val="clear" w:color="auto" w:fill="auto"/>
            <w:vAlign w:val="center"/>
          </w:tcPr>
          <w:p>
            <w:pPr>
              <w:widowControl/>
              <w:jc w:val="center"/>
              <w:rPr>
                <w:rFonts w:ascii="宋体" w:hAnsi="宋体" w:eastAsia="宋体" w:cs="Times New Roman"/>
                <w:kern w:val="0"/>
                <w:sz w:val="24"/>
                <w:szCs w:val="24"/>
              </w:rPr>
            </w:pPr>
            <w:r>
              <w:rPr>
                <w:rFonts w:ascii="宋体" w:hAnsi="宋体" w:eastAsia="宋体" w:cs="Times New Roman"/>
                <w:kern w:val="0"/>
                <w:sz w:val="24"/>
                <w:szCs w:val="24"/>
              </w:rPr>
              <w:t>实务能力与工作经验</w:t>
            </w:r>
          </w:p>
        </w:tc>
        <w:tc>
          <w:tcPr>
            <w:tcW w:w="5096" w:type="dxa"/>
            <w:shd w:val="clear" w:color="auto" w:fill="auto"/>
            <w:vAlign w:val="center"/>
          </w:tcPr>
          <w:p>
            <w:pPr>
              <w:widowControl/>
              <w:jc w:val="left"/>
              <w:rPr>
                <w:rFonts w:ascii="宋体" w:hAnsi="宋体" w:eastAsia="宋体" w:cs="Times New Roman"/>
                <w:kern w:val="0"/>
                <w:sz w:val="24"/>
                <w:szCs w:val="24"/>
              </w:rPr>
            </w:pPr>
            <w:r>
              <w:rPr>
                <w:rFonts w:ascii="宋体" w:hAnsi="宋体" w:eastAsia="宋体" w:cs="Times New Roman"/>
                <w:kern w:val="0"/>
                <w:sz w:val="24"/>
                <w:szCs w:val="24"/>
              </w:rPr>
              <w:t>企事业单位的业界导师应：1)具有丰富的从业经验，拥有一定行业知名度；2)具有一定的岗位职务、专业职务或行业职务；3)（优选项）主持行业企业的重大项目；4)（优选项）获得行业内重要奖项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988" w:type="dxa"/>
            <w:vMerge w:val="restart"/>
            <w:vAlign w:val="center"/>
          </w:tcPr>
          <w:p>
            <w:pPr>
              <w:widowControl/>
              <w:jc w:val="left"/>
              <w:rPr>
                <w:rFonts w:ascii="宋体" w:hAnsi="宋体" w:eastAsia="宋体" w:cs="Times New Roman"/>
                <w:kern w:val="0"/>
                <w:sz w:val="24"/>
                <w:szCs w:val="24"/>
              </w:rPr>
            </w:pPr>
            <w:r>
              <w:rPr>
                <w:rFonts w:hint="eastAsia" w:ascii="宋体" w:hAnsi="宋体" w:eastAsia="宋体"/>
                <w:kern w:val="0"/>
                <w:sz w:val="24"/>
                <w:szCs w:val="24"/>
              </w:rPr>
              <w:t>招生</w:t>
            </w:r>
            <w:r>
              <w:rPr>
                <w:rFonts w:ascii="宋体" w:hAnsi="宋体" w:eastAsia="宋体"/>
                <w:kern w:val="0"/>
                <w:sz w:val="24"/>
                <w:szCs w:val="24"/>
              </w:rPr>
              <w:t>、培养与课程设计</w:t>
            </w:r>
          </w:p>
        </w:tc>
        <w:tc>
          <w:tcPr>
            <w:tcW w:w="877" w:type="dxa"/>
            <w:vMerge w:val="restart"/>
            <w:shd w:val="clear" w:color="auto" w:fill="auto"/>
            <w:vAlign w:val="center"/>
          </w:tcPr>
          <w:p>
            <w:pPr>
              <w:widowControl/>
              <w:jc w:val="left"/>
              <w:rPr>
                <w:rFonts w:ascii="宋体" w:hAnsi="宋体" w:eastAsia="宋体" w:cs="Times New Roman"/>
                <w:kern w:val="0"/>
                <w:sz w:val="24"/>
                <w:szCs w:val="24"/>
              </w:rPr>
            </w:pPr>
            <w:r>
              <w:rPr>
                <w:rFonts w:ascii="宋体" w:hAnsi="宋体" w:eastAsia="宋体" w:cs="Times New Roman"/>
                <w:kern w:val="0"/>
                <w:sz w:val="24"/>
                <w:szCs w:val="24"/>
              </w:rPr>
              <w:t>招生与学位授予</w:t>
            </w:r>
          </w:p>
        </w:tc>
        <w:tc>
          <w:tcPr>
            <w:tcW w:w="1958" w:type="dxa"/>
            <w:shd w:val="clear" w:color="auto" w:fill="auto"/>
            <w:vAlign w:val="center"/>
          </w:tcPr>
          <w:p>
            <w:pPr>
              <w:widowControl/>
              <w:jc w:val="center"/>
              <w:rPr>
                <w:rFonts w:ascii="宋体" w:hAnsi="宋体" w:eastAsia="宋体" w:cs="Times New Roman"/>
                <w:kern w:val="0"/>
                <w:sz w:val="24"/>
                <w:szCs w:val="24"/>
              </w:rPr>
            </w:pPr>
            <w:r>
              <w:rPr>
                <w:rFonts w:ascii="宋体" w:hAnsi="宋体" w:eastAsia="宋体" w:cs="Times New Roman"/>
                <w:kern w:val="0"/>
                <w:sz w:val="24"/>
                <w:szCs w:val="24"/>
              </w:rPr>
              <w:t>招生计划</w:t>
            </w:r>
          </w:p>
        </w:tc>
        <w:tc>
          <w:tcPr>
            <w:tcW w:w="5096" w:type="dxa"/>
            <w:shd w:val="clear" w:color="auto" w:fill="auto"/>
            <w:vAlign w:val="center"/>
          </w:tcPr>
          <w:p>
            <w:pPr>
              <w:widowControl/>
              <w:jc w:val="left"/>
              <w:rPr>
                <w:rFonts w:ascii="宋体" w:hAnsi="宋体" w:eastAsia="宋体" w:cs="Times New Roman"/>
                <w:kern w:val="0"/>
                <w:sz w:val="24"/>
                <w:szCs w:val="24"/>
              </w:rPr>
            </w:pPr>
            <w:r>
              <w:rPr>
                <w:rFonts w:ascii="宋体" w:hAnsi="宋体" w:eastAsia="宋体" w:cs="Times New Roman"/>
                <w:kern w:val="0"/>
                <w:sz w:val="24"/>
                <w:szCs w:val="24"/>
              </w:rPr>
              <w:t>1)健全完善的招生制度，并得到有效落实；2)科学合理的招生计划，并得到有效执行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trPr>
        <w:tc>
          <w:tcPr>
            <w:tcW w:w="988" w:type="dxa"/>
            <w:vMerge w:val="continue"/>
            <w:vAlign w:val="center"/>
          </w:tcPr>
          <w:p>
            <w:pPr>
              <w:widowControl/>
              <w:jc w:val="left"/>
              <w:rPr>
                <w:rFonts w:ascii="宋体" w:hAnsi="宋体" w:eastAsia="宋体" w:cs="Times New Roman"/>
                <w:kern w:val="0"/>
                <w:sz w:val="24"/>
                <w:szCs w:val="24"/>
              </w:rPr>
            </w:pPr>
          </w:p>
        </w:tc>
        <w:tc>
          <w:tcPr>
            <w:tcW w:w="877" w:type="dxa"/>
            <w:vMerge w:val="continue"/>
            <w:vAlign w:val="center"/>
          </w:tcPr>
          <w:p>
            <w:pPr>
              <w:widowControl/>
              <w:jc w:val="left"/>
              <w:rPr>
                <w:rFonts w:ascii="宋体" w:hAnsi="宋体" w:eastAsia="宋体" w:cs="Times New Roman"/>
                <w:kern w:val="0"/>
                <w:sz w:val="24"/>
                <w:szCs w:val="24"/>
              </w:rPr>
            </w:pPr>
          </w:p>
        </w:tc>
        <w:tc>
          <w:tcPr>
            <w:tcW w:w="1958" w:type="dxa"/>
            <w:shd w:val="clear" w:color="auto" w:fill="auto"/>
            <w:vAlign w:val="center"/>
          </w:tcPr>
          <w:p>
            <w:pPr>
              <w:widowControl/>
              <w:jc w:val="center"/>
              <w:rPr>
                <w:rFonts w:ascii="宋体" w:hAnsi="宋体" w:eastAsia="宋体" w:cs="Times New Roman"/>
                <w:kern w:val="0"/>
                <w:sz w:val="24"/>
                <w:szCs w:val="24"/>
              </w:rPr>
            </w:pPr>
            <w:r>
              <w:rPr>
                <w:rFonts w:ascii="宋体" w:hAnsi="宋体" w:eastAsia="宋体" w:cs="Times New Roman"/>
                <w:kern w:val="0"/>
                <w:sz w:val="24"/>
                <w:szCs w:val="24"/>
              </w:rPr>
              <w:t>招生与学位授予规模</w:t>
            </w:r>
          </w:p>
        </w:tc>
        <w:tc>
          <w:tcPr>
            <w:tcW w:w="5096" w:type="dxa"/>
            <w:shd w:val="clear" w:color="auto" w:fill="auto"/>
            <w:vAlign w:val="center"/>
          </w:tcPr>
          <w:p>
            <w:pPr>
              <w:widowControl/>
              <w:jc w:val="left"/>
              <w:rPr>
                <w:rFonts w:ascii="宋体" w:hAnsi="宋体" w:eastAsia="宋体" w:cs="Times New Roman"/>
                <w:kern w:val="0"/>
                <w:sz w:val="24"/>
                <w:szCs w:val="24"/>
              </w:rPr>
            </w:pPr>
            <w:r>
              <w:rPr>
                <w:rFonts w:ascii="宋体" w:hAnsi="宋体" w:eastAsia="宋体" w:cs="Times New Roman"/>
                <w:kern w:val="0"/>
                <w:sz w:val="24"/>
                <w:szCs w:val="24"/>
              </w:rPr>
              <w:t>1)积极做好生源组织工作，每个领域招生数量不少于5人；2)近三年本学位授权点报名人数逐渐增加，生源结构逐步合理，有相关生源质量保证措施；3)三年内招收硕士生人数原则上应为“导师人数×3×3”,三年内授予硕士学位人数原则上大致应与招生人数相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988" w:type="dxa"/>
            <w:vMerge w:val="continue"/>
            <w:vAlign w:val="center"/>
          </w:tcPr>
          <w:p>
            <w:pPr>
              <w:widowControl/>
              <w:jc w:val="left"/>
              <w:rPr>
                <w:rFonts w:ascii="宋体" w:hAnsi="宋体" w:eastAsia="宋体" w:cs="Times New Roman"/>
                <w:kern w:val="0"/>
                <w:sz w:val="24"/>
                <w:szCs w:val="24"/>
              </w:rPr>
            </w:pPr>
          </w:p>
        </w:tc>
        <w:tc>
          <w:tcPr>
            <w:tcW w:w="877" w:type="dxa"/>
            <w:vMerge w:val="continue"/>
            <w:vAlign w:val="center"/>
          </w:tcPr>
          <w:p>
            <w:pPr>
              <w:widowControl/>
              <w:jc w:val="left"/>
              <w:rPr>
                <w:rFonts w:ascii="宋体" w:hAnsi="宋体" w:eastAsia="宋体" w:cs="Times New Roman"/>
                <w:kern w:val="0"/>
                <w:sz w:val="24"/>
                <w:szCs w:val="24"/>
              </w:rPr>
            </w:pPr>
          </w:p>
        </w:tc>
        <w:tc>
          <w:tcPr>
            <w:tcW w:w="1958" w:type="dxa"/>
            <w:shd w:val="clear" w:color="auto" w:fill="auto"/>
            <w:vAlign w:val="center"/>
          </w:tcPr>
          <w:p>
            <w:pPr>
              <w:widowControl/>
              <w:jc w:val="center"/>
              <w:rPr>
                <w:rFonts w:ascii="宋体" w:hAnsi="宋体" w:eastAsia="宋体" w:cs="Times New Roman"/>
                <w:kern w:val="0"/>
                <w:sz w:val="24"/>
                <w:szCs w:val="24"/>
              </w:rPr>
            </w:pPr>
            <w:r>
              <w:rPr>
                <w:rFonts w:ascii="宋体" w:hAnsi="宋体" w:eastAsia="宋体" w:cs="Times New Roman"/>
                <w:kern w:val="0"/>
                <w:sz w:val="24"/>
                <w:szCs w:val="24"/>
              </w:rPr>
              <w:t>师生比</w:t>
            </w:r>
          </w:p>
        </w:tc>
        <w:tc>
          <w:tcPr>
            <w:tcW w:w="5096" w:type="dxa"/>
            <w:shd w:val="clear" w:color="auto" w:fill="auto"/>
            <w:vAlign w:val="center"/>
          </w:tcPr>
          <w:p>
            <w:pPr>
              <w:widowControl/>
              <w:jc w:val="left"/>
              <w:rPr>
                <w:rFonts w:ascii="宋体" w:hAnsi="宋体" w:eastAsia="宋体" w:cs="Times New Roman"/>
                <w:kern w:val="0"/>
                <w:sz w:val="24"/>
                <w:szCs w:val="24"/>
              </w:rPr>
            </w:pPr>
            <w:r>
              <w:rPr>
                <w:rFonts w:ascii="宋体" w:hAnsi="宋体" w:eastAsia="宋体" w:cs="Times New Roman"/>
                <w:kern w:val="0"/>
                <w:sz w:val="24"/>
                <w:szCs w:val="24"/>
              </w:rPr>
              <w:t>师生比例合理，原则上专任教师与硕士研究生人数比例应控制在</w:t>
            </w:r>
            <w:r>
              <w:rPr>
                <w:rFonts w:hint="eastAsia" w:ascii="宋体" w:hAnsi="宋体" w:eastAsia="宋体" w:cs="Times New Roman"/>
                <w:kern w:val="0"/>
                <w:sz w:val="24"/>
                <w:szCs w:val="24"/>
              </w:rPr>
              <w:t>1:</w:t>
            </w:r>
            <w:r>
              <w:rPr>
                <w:rFonts w:ascii="宋体" w:hAnsi="宋体" w:eastAsia="宋体" w:cs="Times New Roman"/>
                <w:kern w:val="0"/>
                <w:sz w:val="24"/>
                <w:szCs w:val="24"/>
              </w:rPr>
              <w:t>5以内，业界导师与硕士研究生人数比例应控制在</w:t>
            </w:r>
            <w:r>
              <w:rPr>
                <w:rFonts w:hint="eastAsia" w:ascii="宋体" w:hAnsi="宋体" w:eastAsia="宋体" w:cs="Times New Roman"/>
                <w:kern w:val="0"/>
                <w:sz w:val="24"/>
                <w:szCs w:val="24"/>
              </w:rPr>
              <w:t>1:</w:t>
            </w:r>
            <w:r>
              <w:rPr>
                <w:rFonts w:ascii="宋体" w:hAnsi="宋体" w:eastAsia="宋体" w:cs="Times New Roman"/>
                <w:kern w:val="0"/>
                <w:sz w:val="24"/>
                <w:szCs w:val="24"/>
              </w:rPr>
              <w:t>3以内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988" w:type="dxa"/>
            <w:vMerge w:val="continue"/>
            <w:vAlign w:val="center"/>
          </w:tcPr>
          <w:p>
            <w:pPr>
              <w:widowControl/>
              <w:jc w:val="left"/>
              <w:rPr>
                <w:rFonts w:ascii="宋体" w:hAnsi="宋体" w:eastAsia="宋体" w:cs="Times New Roman"/>
                <w:kern w:val="0"/>
                <w:sz w:val="24"/>
                <w:szCs w:val="24"/>
              </w:rPr>
            </w:pPr>
          </w:p>
        </w:tc>
        <w:tc>
          <w:tcPr>
            <w:tcW w:w="877" w:type="dxa"/>
            <w:vMerge w:val="continue"/>
            <w:vAlign w:val="center"/>
          </w:tcPr>
          <w:p>
            <w:pPr>
              <w:widowControl/>
              <w:jc w:val="left"/>
              <w:rPr>
                <w:rFonts w:ascii="宋体" w:hAnsi="宋体" w:eastAsia="宋体" w:cs="Times New Roman"/>
                <w:kern w:val="0"/>
                <w:sz w:val="24"/>
                <w:szCs w:val="24"/>
              </w:rPr>
            </w:pPr>
          </w:p>
        </w:tc>
        <w:tc>
          <w:tcPr>
            <w:tcW w:w="1958" w:type="dxa"/>
            <w:shd w:val="clear" w:color="auto" w:fill="auto"/>
            <w:vAlign w:val="center"/>
          </w:tcPr>
          <w:p>
            <w:pPr>
              <w:widowControl/>
              <w:jc w:val="center"/>
              <w:rPr>
                <w:rFonts w:ascii="宋体" w:hAnsi="宋体" w:eastAsia="宋体" w:cs="Times New Roman"/>
                <w:kern w:val="0"/>
                <w:sz w:val="24"/>
                <w:szCs w:val="24"/>
              </w:rPr>
            </w:pPr>
            <w:r>
              <w:rPr>
                <w:rFonts w:ascii="宋体" w:hAnsi="宋体" w:eastAsia="宋体" w:cs="Times New Roman"/>
                <w:kern w:val="0"/>
                <w:sz w:val="24"/>
                <w:szCs w:val="24"/>
              </w:rPr>
              <w:t>招生纪律</w:t>
            </w:r>
          </w:p>
        </w:tc>
        <w:tc>
          <w:tcPr>
            <w:tcW w:w="5096" w:type="dxa"/>
            <w:shd w:val="clear" w:color="auto" w:fill="auto"/>
            <w:vAlign w:val="center"/>
          </w:tcPr>
          <w:p>
            <w:pPr>
              <w:widowControl/>
              <w:jc w:val="left"/>
              <w:rPr>
                <w:rFonts w:ascii="宋体" w:hAnsi="宋体" w:eastAsia="宋体" w:cs="Times New Roman"/>
                <w:kern w:val="0"/>
                <w:sz w:val="24"/>
                <w:szCs w:val="24"/>
              </w:rPr>
            </w:pPr>
            <w:r>
              <w:rPr>
                <w:rFonts w:ascii="宋体" w:hAnsi="宋体" w:eastAsia="宋体" w:cs="Times New Roman"/>
                <w:kern w:val="0"/>
                <w:sz w:val="24"/>
                <w:szCs w:val="24"/>
              </w:rPr>
              <w:t>招生过程中无违纪、违规或其他不良现象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88" w:type="dxa"/>
            <w:vMerge w:val="continue"/>
            <w:vAlign w:val="center"/>
          </w:tcPr>
          <w:p>
            <w:pPr>
              <w:widowControl/>
              <w:jc w:val="center"/>
              <w:rPr>
                <w:rFonts w:ascii="宋体" w:hAnsi="宋体" w:eastAsia="宋体" w:cs="Times New Roman"/>
                <w:kern w:val="0"/>
                <w:sz w:val="24"/>
                <w:szCs w:val="24"/>
              </w:rPr>
            </w:pPr>
          </w:p>
        </w:tc>
        <w:tc>
          <w:tcPr>
            <w:tcW w:w="877" w:type="dxa"/>
            <w:vMerge w:val="restart"/>
            <w:shd w:val="clear" w:color="auto" w:fill="auto"/>
            <w:vAlign w:val="center"/>
          </w:tcPr>
          <w:p>
            <w:pPr>
              <w:widowControl/>
              <w:jc w:val="center"/>
              <w:rPr>
                <w:rFonts w:ascii="宋体" w:hAnsi="宋体" w:eastAsia="宋体" w:cs="Times New Roman"/>
                <w:kern w:val="0"/>
                <w:sz w:val="24"/>
                <w:szCs w:val="24"/>
              </w:rPr>
            </w:pPr>
            <w:r>
              <w:rPr>
                <w:rFonts w:ascii="宋体" w:hAnsi="宋体" w:eastAsia="宋体" w:cs="Times New Roman"/>
                <w:kern w:val="0"/>
                <w:sz w:val="24"/>
                <w:szCs w:val="24"/>
              </w:rPr>
              <w:t>培养</w:t>
            </w:r>
          </w:p>
          <w:p>
            <w:pPr>
              <w:widowControl/>
              <w:jc w:val="center"/>
              <w:rPr>
                <w:rFonts w:ascii="宋体" w:hAnsi="宋体" w:eastAsia="宋体" w:cs="Times New Roman"/>
                <w:kern w:val="0"/>
                <w:sz w:val="24"/>
                <w:szCs w:val="24"/>
              </w:rPr>
            </w:pPr>
            <w:r>
              <w:rPr>
                <w:rFonts w:ascii="宋体" w:hAnsi="宋体" w:eastAsia="宋体" w:cs="Times New Roman"/>
                <w:kern w:val="0"/>
                <w:sz w:val="24"/>
                <w:szCs w:val="24"/>
              </w:rPr>
              <w:t>方案</w:t>
            </w:r>
          </w:p>
        </w:tc>
        <w:tc>
          <w:tcPr>
            <w:tcW w:w="1958" w:type="dxa"/>
            <w:shd w:val="clear" w:color="auto" w:fill="auto"/>
            <w:vAlign w:val="center"/>
          </w:tcPr>
          <w:p>
            <w:pPr>
              <w:widowControl/>
              <w:jc w:val="center"/>
              <w:rPr>
                <w:rFonts w:ascii="宋体" w:hAnsi="宋体" w:eastAsia="宋体" w:cs="Times New Roman"/>
                <w:kern w:val="0"/>
                <w:sz w:val="24"/>
                <w:szCs w:val="24"/>
              </w:rPr>
            </w:pPr>
            <w:r>
              <w:rPr>
                <w:rFonts w:ascii="宋体" w:hAnsi="宋体" w:eastAsia="宋体" w:cs="Times New Roman"/>
                <w:kern w:val="0"/>
                <w:sz w:val="24"/>
                <w:szCs w:val="24"/>
              </w:rPr>
              <w:t>专业方向　</w:t>
            </w:r>
          </w:p>
        </w:tc>
        <w:tc>
          <w:tcPr>
            <w:tcW w:w="5096" w:type="dxa"/>
            <w:shd w:val="clear" w:color="auto" w:fill="auto"/>
            <w:vAlign w:val="center"/>
          </w:tcPr>
          <w:p>
            <w:pPr>
              <w:widowControl/>
              <w:jc w:val="left"/>
              <w:rPr>
                <w:rFonts w:ascii="宋体" w:hAnsi="宋体" w:eastAsia="宋体" w:cs="Times New Roman"/>
                <w:kern w:val="0"/>
                <w:sz w:val="24"/>
                <w:szCs w:val="24"/>
              </w:rPr>
            </w:pPr>
            <w:r>
              <w:rPr>
                <w:rFonts w:ascii="宋体" w:hAnsi="宋体" w:eastAsia="宋体" w:cs="Times New Roman"/>
                <w:kern w:val="0"/>
                <w:sz w:val="24"/>
                <w:szCs w:val="24"/>
              </w:rPr>
              <w:t>1)与行业需求相结合；2)与培养单位优势学科相结合，体现培养单位的专业特色；3)适应行业发展趋势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988" w:type="dxa"/>
            <w:vMerge w:val="continue"/>
            <w:vAlign w:val="center"/>
          </w:tcPr>
          <w:p>
            <w:pPr>
              <w:widowControl/>
              <w:jc w:val="center"/>
              <w:rPr>
                <w:rFonts w:ascii="宋体" w:hAnsi="宋体" w:eastAsia="宋体" w:cs="Times New Roman"/>
                <w:kern w:val="0"/>
                <w:sz w:val="24"/>
                <w:szCs w:val="24"/>
              </w:rPr>
            </w:pPr>
          </w:p>
        </w:tc>
        <w:tc>
          <w:tcPr>
            <w:tcW w:w="877" w:type="dxa"/>
            <w:vMerge w:val="continue"/>
            <w:vAlign w:val="center"/>
          </w:tcPr>
          <w:p>
            <w:pPr>
              <w:widowControl/>
              <w:jc w:val="left"/>
              <w:rPr>
                <w:rFonts w:ascii="宋体" w:hAnsi="宋体" w:eastAsia="宋体" w:cs="Times New Roman"/>
                <w:kern w:val="0"/>
                <w:sz w:val="24"/>
                <w:szCs w:val="24"/>
              </w:rPr>
            </w:pPr>
          </w:p>
        </w:tc>
        <w:tc>
          <w:tcPr>
            <w:tcW w:w="1958" w:type="dxa"/>
            <w:shd w:val="clear" w:color="auto" w:fill="auto"/>
            <w:vAlign w:val="center"/>
          </w:tcPr>
          <w:p>
            <w:pPr>
              <w:widowControl/>
              <w:jc w:val="center"/>
              <w:rPr>
                <w:rFonts w:ascii="宋体" w:hAnsi="宋体" w:eastAsia="宋体" w:cs="Times New Roman"/>
                <w:kern w:val="0"/>
                <w:sz w:val="24"/>
                <w:szCs w:val="24"/>
              </w:rPr>
            </w:pPr>
            <w:r>
              <w:rPr>
                <w:rFonts w:ascii="宋体" w:hAnsi="宋体" w:eastAsia="宋体" w:cs="Times New Roman"/>
                <w:kern w:val="0"/>
                <w:sz w:val="24"/>
                <w:szCs w:val="24"/>
              </w:rPr>
              <w:t>培养目标与内容</w:t>
            </w:r>
          </w:p>
        </w:tc>
        <w:tc>
          <w:tcPr>
            <w:tcW w:w="5096" w:type="dxa"/>
            <w:shd w:val="clear" w:color="auto" w:fill="auto"/>
            <w:vAlign w:val="center"/>
          </w:tcPr>
          <w:p>
            <w:pPr>
              <w:widowControl/>
              <w:jc w:val="left"/>
              <w:rPr>
                <w:rFonts w:ascii="宋体" w:hAnsi="宋体" w:eastAsia="宋体" w:cs="Times New Roman"/>
                <w:kern w:val="0"/>
                <w:sz w:val="24"/>
                <w:szCs w:val="24"/>
              </w:rPr>
            </w:pPr>
            <w:r>
              <w:rPr>
                <w:rFonts w:ascii="宋体" w:hAnsi="宋体" w:eastAsia="宋体" w:cs="Times New Roman"/>
                <w:kern w:val="0"/>
                <w:sz w:val="24"/>
                <w:szCs w:val="24"/>
              </w:rPr>
              <w:t>1)拥有完善的培养方案；2)培养目标与培养方式科学合理，并得到有效落实；3)培养内容、课程设置与培养单位的专业方向相一致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988" w:type="dxa"/>
            <w:vMerge w:val="continue"/>
            <w:vAlign w:val="center"/>
          </w:tcPr>
          <w:p>
            <w:pPr>
              <w:widowControl/>
              <w:jc w:val="center"/>
              <w:rPr>
                <w:rFonts w:ascii="宋体" w:hAnsi="宋体" w:eastAsia="宋体" w:cs="Times New Roman"/>
                <w:kern w:val="0"/>
                <w:sz w:val="24"/>
                <w:szCs w:val="24"/>
              </w:rPr>
            </w:pPr>
          </w:p>
        </w:tc>
        <w:tc>
          <w:tcPr>
            <w:tcW w:w="877" w:type="dxa"/>
            <w:vMerge w:val="restart"/>
            <w:shd w:val="clear" w:color="auto" w:fill="auto"/>
            <w:vAlign w:val="center"/>
          </w:tcPr>
          <w:p>
            <w:pPr>
              <w:widowControl/>
              <w:jc w:val="center"/>
              <w:rPr>
                <w:rFonts w:ascii="宋体" w:hAnsi="宋体" w:eastAsia="宋体" w:cs="Times New Roman"/>
                <w:kern w:val="0"/>
                <w:sz w:val="24"/>
                <w:szCs w:val="24"/>
              </w:rPr>
            </w:pPr>
            <w:r>
              <w:rPr>
                <w:rFonts w:ascii="宋体" w:hAnsi="宋体" w:eastAsia="宋体" w:cs="Times New Roman"/>
                <w:kern w:val="0"/>
                <w:sz w:val="24"/>
                <w:szCs w:val="24"/>
              </w:rPr>
              <w:t>课程</w:t>
            </w:r>
          </w:p>
          <w:p>
            <w:pPr>
              <w:widowControl/>
              <w:jc w:val="center"/>
              <w:rPr>
                <w:rFonts w:ascii="宋体" w:hAnsi="宋体" w:eastAsia="宋体" w:cs="Times New Roman"/>
                <w:kern w:val="0"/>
                <w:sz w:val="24"/>
                <w:szCs w:val="24"/>
              </w:rPr>
            </w:pPr>
            <w:r>
              <w:rPr>
                <w:rFonts w:ascii="宋体" w:hAnsi="宋体" w:eastAsia="宋体" w:cs="Times New Roman"/>
                <w:kern w:val="0"/>
                <w:sz w:val="24"/>
                <w:szCs w:val="24"/>
              </w:rPr>
              <w:t>教学</w:t>
            </w:r>
          </w:p>
        </w:tc>
        <w:tc>
          <w:tcPr>
            <w:tcW w:w="1958" w:type="dxa"/>
            <w:shd w:val="clear" w:color="auto" w:fill="auto"/>
            <w:vAlign w:val="center"/>
          </w:tcPr>
          <w:p>
            <w:pPr>
              <w:widowControl/>
              <w:jc w:val="center"/>
              <w:rPr>
                <w:rFonts w:ascii="宋体" w:hAnsi="宋体" w:eastAsia="宋体" w:cs="Times New Roman"/>
                <w:kern w:val="0"/>
                <w:sz w:val="24"/>
                <w:szCs w:val="24"/>
              </w:rPr>
            </w:pPr>
            <w:r>
              <w:rPr>
                <w:rFonts w:ascii="宋体" w:hAnsi="宋体" w:eastAsia="宋体" w:cs="Times New Roman"/>
                <w:kern w:val="0"/>
                <w:sz w:val="24"/>
                <w:szCs w:val="24"/>
              </w:rPr>
              <w:t>教学计划</w:t>
            </w:r>
          </w:p>
        </w:tc>
        <w:tc>
          <w:tcPr>
            <w:tcW w:w="5096" w:type="dxa"/>
            <w:shd w:val="clear" w:color="auto" w:fill="auto"/>
            <w:vAlign w:val="center"/>
          </w:tcPr>
          <w:p>
            <w:pPr>
              <w:widowControl/>
              <w:jc w:val="left"/>
              <w:rPr>
                <w:rFonts w:ascii="宋体" w:hAnsi="宋体" w:eastAsia="宋体" w:cs="Times New Roman"/>
                <w:kern w:val="0"/>
                <w:sz w:val="24"/>
                <w:szCs w:val="24"/>
              </w:rPr>
            </w:pPr>
            <w:r>
              <w:rPr>
                <w:rFonts w:ascii="宋体" w:hAnsi="宋体" w:eastAsia="宋体" w:cs="Times New Roman"/>
                <w:kern w:val="0"/>
                <w:sz w:val="24"/>
                <w:szCs w:val="24"/>
              </w:rPr>
              <w:t>1)有完善、清晰的教学计划，并得到有效落实；2)教学大纲编写规范，内容包括教学目标与要求、教学内容、教学方式、考核方式和参考文献，并及时发给研究生。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988" w:type="dxa"/>
            <w:vMerge w:val="continue"/>
            <w:vAlign w:val="center"/>
          </w:tcPr>
          <w:p>
            <w:pPr>
              <w:widowControl/>
              <w:jc w:val="left"/>
              <w:rPr>
                <w:rFonts w:ascii="宋体" w:hAnsi="宋体" w:eastAsia="宋体" w:cs="Times New Roman"/>
                <w:kern w:val="0"/>
                <w:sz w:val="24"/>
                <w:szCs w:val="24"/>
              </w:rPr>
            </w:pPr>
          </w:p>
        </w:tc>
        <w:tc>
          <w:tcPr>
            <w:tcW w:w="877" w:type="dxa"/>
            <w:vMerge w:val="continue"/>
            <w:vAlign w:val="center"/>
          </w:tcPr>
          <w:p>
            <w:pPr>
              <w:widowControl/>
              <w:jc w:val="left"/>
              <w:rPr>
                <w:rFonts w:ascii="宋体" w:hAnsi="宋体" w:eastAsia="宋体" w:cs="Times New Roman"/>
                <w:kern w:val="0"/>
                <w:sz w:val="24"/>
                <w:szCs w:val="24"/>
              </w:rPr>
            </w:pPr>
          </w:p>
        </w:tc>
        <w:tc>
          <w:tcPr>
            <w:tcW w:w="1958" w:type="dxa"/>
            <w:shd w:val="clear" w:color="auto" w:fill="auto"/>
            <w:vAlign w:val="center"/>
          </w:tcPr>
          <w:p>
            <w:pPr>
              <w:widowControl/>
              <w:jc w:val="center"/>
              <w:rPr>
                <w:rFonts w:ascii="宋体" w:hAnsi="宋体" w:eastAsia="宋体" w:cs="Times New Roman"/>
                <w:kern w:val="0"/>
                <w:sz w:val="24"/>
                <w:szCs w:val="24"/>
              </w:rPr>
            </w:pPr>
            <w:r>
              <w:rPr>
                <w:rFonts w:ascii="宋体" w:hAnsi="宋体" w:eastAsia="宋体" w:cs="Times New Roman"/>
                <w:kern w:val="0"/>
                <w:sz w:val="24"/>
                <w:szCs w:val="24"/>
              </w:rPr>
              <w:t>教学方式创新</w:t>
            </w:r>
          </w:p>
        </w:tc>
        <w:tc>
          <w:tcPr>
            <w:tcW w:w="5096" w:type="dxa"/>
            <w:shd w:val="clear" w:color="auto" w:fill="auto"/>
            <w:vAlign w:val="center"/>
          </w:tcPr>
          <w:p>
            <w:pPr>
              <w:widowControl/>
              <w:jc w:val="left"/>
              <w:rPr>
                <w:rFonts w:ascii="宋体" w:hAnsi="宋体" w:eastAsia="宋体" w:cs="Times New Roman"/>
                <w:kern w:val="0"/>
                <w:sz w:val="24"/>
                <w:szCs w:val="24"/>
              </w:rPr>
            </w:pPr>
            <w:r>
              <w:rPr>
                <w:rFonts w:ascii="宋体" w:hAnsi="宋体" w:eastAsia="宋体" w:cs="Times New Roman"/>
                <w:kern w:val="0"/>
                <w:sz w:val="24"/>
                <w:szCs w:val="24"/>
              </w:rPr>
              <w:t>1)积极开展研究生教学改革,在教学模式、培养方式上有较大的创新；2)符合专业学位教学特点；3)注重运用现场教学、案例分析等方式提升学生的应用能力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988" w:type="dxa"/>
            <w:vMerge w:val="continue"/>
            <w:vAlign w:val="center"/>
          </w:tcPr>
          <w:p>
            <w:pPr>
              <w:widowControl/>
              <w:jc w:val="left"/>
              <w:rPr>
                <w:rFonts w:ascii="宋体" w:hAnsi="宋体" w:eastAsia="宋体" w:cs="Times New Roman"/>
                <w:kern w:val="0"/>
                <w:sz w:val="24"/>
                <w:szCs w:val="24"/>
              </w:rPr>
            </w:pPr>
          </w:p>
        </w:tc>
        <w:tc>
          <w:tcPr>
            <w:tcW w:w="877" w:type="dxa"/>
            <w:vMerge w:val="continue"/>
            <w:vAlign w:val="center"/>
          </w:tcPr>
          <w:p>
            <w:pPr>
              <w:widowControl/>
              <w:jc w:val="left"/>
              <w:rPr>
                <w:rFonts w:ascii="宋体" w:hAnsi="宋体" w:eastAsia="宋体" w:cs="Times New Roman"/>
                <w:kern w:val="0"/>
                <w:sz w:val="24"/>
                <w:szCs w:val="24"/>
              </w:rPr>
            </w:pPr>
          </w:p>
        </w:tc>
        <w:tc>
          <w:tcPr>
            <w:tcW w:w="1958" w:type="dxa"/>
            <w:shd w:val="clear" w:color="auto" w:fill="auto"/>
            <w:vAlign w:val="center"/>
          </w:tcPr>
          <w:p>
            <w:pPr>
              <w:widowControl/>
              <w:jc w:val="center"/>
              <w:rPr>
                <w:rFonts w:ascii="宋体" w:hAnsi="宋体" w:eastAsia="宋体" w:cs="Times New Roman"/>
                <w:kern w:val="0"/>
                <w:sz w:val="24"/>
                <w:szCs w:val="24"/>
              </w:rPr>
            </w:pPr>
            <w:r>
              <w:rPr>
                <w:rFonts w:ascii="宋体" w:hAnsi="宋体" w:eastAsia="宋体" w:cs="Times New Roman"/>
                <w:kern w:val="0"/>
                <w:sz w:val="24"/>
                <w:szCs w:val="24"/>
              </w:rPr>
              <w:t>开设课程</w:t>
            </w:r>
          </w:p>
        </w:tc>
        <w:tc>
          <w:tcPr>
            <w:tcW w:w="5096" w:type="dxa"/>
            <w:shd w:val="clear" w:color="auto" w:fill="auto"/>
            <w:vAlign w:val="center"/>
          </w:tcPr>
          <w:p>
            <w:pPr>
              <w:widowControl/>
              <w:jc w:val="left"/>
              <w:rPr>
                <w:rFonts w:ascii="宋体" w:hAnsi="宋体" w:eastAsia="宋体" w:cs="Times New Roman"/>
                <w:kern w:val="0"/>
                <w:sz w:val="24"/>
                <w:szCs w:val="24"/>
              </w:rPr>
            </w:pPr>
            <w:r>
              <w:rPr>
                <w:rFonts w:ascii="宋体" w:hAnsi="宋体" w:eastAsia="宋体" w:cs="Times New Roman"/>
                <w:kern w:val="0"/>
                <w:sz w:val="24"/>
                <w:szCs w:val="24"/>
              </w:rPr>
              <w:t>1)并能按培养方案开出规定的课程，课程设置合理，具有实践性、应用性；2)近三年新开设课程所占比例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trPr>
        <w:tc>
          <w:tcPr>
            <w:tcW w:w="988" w:type="dxa"/>
            <w:vMerge w:val="continue"/>
            <w:vAlign w:val="center"/>
          </w:tcPr>
          <w:p>
            <w:pPr>
              <w:widowControl/>
              <w:jc w:val="left"/>
              <w:rPr>
                <w:rFonts w:ascii="宋体" w:hAnsi="宋体" w:eastAsia="宋体" w:cs="Times New Roman"/>
                <w:kern w:val="0"/>
                <w:sz w:val="24"/>
                <w:szCs w:val="24"/>
              </w:rPr>
            </w:pPr>
          </w:p>
        </w:tc>
        <w:tc>
          <w:tcPr>
            <w:tcW w:w="877" w:type="dxa"/>
            <w:vMerge w:val="continue"/>
            <w:vAlign w:val="center"/>
          </w:tcPr>
          <w:p>
            <w:pPr>
              <w:widowControl/>
              <w:jc w:val="left"/>
              <w:rPr>
                <w:rFonts w:ascii="宋体" w:hAnsi="宋体" w:eastAsia="宋体" w:cs="Times New Roman"/>
                <w:kern w:val="0"/>
                <w:sz w:val="24"/>
                <w:szCs w:val="24"/>
              </w:rPr>
            </w:pPr>
          </w:p>
        </w:tc>
        <w:tc>
          <w:tcPr>
            <w:tcW w:w="1958" w:type="dxa"/>
            <w:shd w:val="clear" w:color="auto" w:fill="auto"/>
            <w:vAlign w:val="center"/>
          </w:tcPr>
          <w:p>
            <w:pPr>
              <w:widowControl/>
              <w:jc w:val="center"/>
              <w:rPr>
                <w:rFonts w:ascii="宋体" w:hAnsi="宋体" w:eastAsia="宋体" w:cs="Times New Roman"/>
                <w:kern w:val="0"/>
                <w:sz w:val="24"/>
                <w:szCs w:val="24"/>
              </w:rPr>
            </w:pPr>
            <w:r>
              <w:rPr>
                <w:rFonts w:ascii="宋体" w:hAnsi="宋体" w:eastAsia="宋体" w:cs="Times New Roman"/>
                <w:kern w:val="0"/>
                <w:sz w:val="24"/>
                <w:szCs w:val="24"/>
              </w:rPr>
              <w:t>教材建设</w:t>
            </w:r>
          </w:p>
        </w:tc>
        <w:tc>
          <w:tcPr>
            <w:tcW w:w="5096" w:type="dxa"/>
            <w:shd w:val="clear" w:color="auto" w:fill="auto"/>
            <w:vAlign w:val="center"/>
          </w:tcPr>
          <w:p>
            <w:pPr>
              <w:widowControl/>
              <w:jc w:val="left"/>
              <w:rPr>
                <w:rFonts w:ascii="宋体" w:hAnsi="宋体" w:eastAsia="宋体" w:cs="Times New Roman"/>
                <w:kern w:val="0"/>
                <w:sz w:val="24"/>
                <w:szCs w:val="24"/>
              </w:rPr>
            </w:pPr>
            <w:r>
              <w:rPr>
                <w:rFonts w:ascii="宋体" w:hAnsi="宋体" w:eastAsia="宋体" w:cs="Times New Roman"/>
                <w:kern w:val="0"/>
                <w:sz w:val="24"/>
                <w:szCs w:val="24"/>
              </w:rPr>
              <w:t>1)正式出版或编写质量较高的研究生教材、讲义,出版教材数量；</w:t>
            </w:r>
            <w:r>
              <w:rPr>
                <w:rFonts w:ascii="宋体" w:hAnsi="宋体" w:eastAsia="宋体" w:cs="Times New Roman"/>
                <w:kern w:val="0"/>
                <w:sz w:val="24"/>
                <w:szCs w:val="24"/>
              </w:rPr>
              <w:br w:type="textWrapping"/>
            </w:r>
            <w:r>
              <w:rPr>
                <w:rFonts w:ascii="宋体" w:hAnsi="宋体" w:eastAsia="宋体" w:cs="Times New Roman"/>
                <w:kern w:val="0"/>
                <w:sz w:val="24"/>
                <w:szCs w:val="24"/>
              </w:rPr>
              <w:t>2)教材获奖情况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988" w:type="dxa"/>
            <w:vMerge w:val="continue"/>
            <w:vAlign w:val="center"/>
          </w:tcPr>
          <w:p>
            <w:pPr>
              <w:widowControl/>
              <w:jc w:val="left"/>
              <w:rPr>
                <w:rFonts w:ascii="宋体" w:hAnsi="宋体" w:eastAsia="宋体" w:cs="Times New Roman"/>
                <w:kern w:val="0"/>
                <w:sz w:val="24"/>
                <w:szCs w:val="24"/>
              </w:rPr>
            </w:pPr>
          </w:p>
        </w:tc>
        <w:tc>
          <w:tcPr>
            <w:tcW w:w="877" w:type="dxa"/>
            <w:vMerge w:val="continue"/>
            <w:vAlign w:val="center"/>
          </w:tcPr>
          <w:p>
            <w:pPr>
              <w:widowControl/>
              <w:jc w:val="left"/>
              <w:rPr>
                <w:rFonts w:ascii="宋体" w:hAnsi="宋体" w:eastAsia="宋体" w:cs="Times New Roman"/>
                <w:kern w:val="0"/>
                <w:sz w:val="24"/>
                <w:szCs w:val="24"/>
              </w:rPr>
            </w:pPr>
          </w:p>
        </w:tc>
        <w:tc>
          <w:tcPr>
            <w:tcW w:w="1958" w:type="dxa"/>
            <w:shd w:val="clear" w:color="auto" w:fill="auto"/>
            <w:vAlign w:val="center"/>
          </w:tcPr>
          <w:p>
            <w:pPr>
              <w:widowControl/>
              <w:jc w:val="center"/>
              <w:rPr>
                <w:rFonts w:ascii="宋体" w:hAnsi="宋体" w:eastAsia="宋体" w:cs="Times New Roman"/>
                <w:kern w:val="0"/>
                <w:sz w:val="24"/>
                <w:szCs w:val="24"/>
              </w:rPr>
            </w:pPr>
            <w:r>
              <w:rPr>
                <w:rFonts w:ascii="宋体" w:hAnsi="宋体" w:eastAsia="宋体" w:cs="Times New Roman"/>
                <w:kern w:val="0"/>
                <w:sz w:val="24"/>
                <w:szCs w:val="24"/>
              </w:rPr>
              <w:t>案例库建设</w:t>
            </w:r>
          </w:p>
        </w:tc>
        <w:tc>
          <w:tcPr>
            <w:tcW w:w="5096" w:type="dxa"/>
            <w:shd w:val="clear" w:color="auto" w:fill="auto"/>
            <w:vAlign w:val="center"/>
          </w:tcPr>
          <w:p>
            <w:pPr>
              <w:widowControl/>
              <w:jc w:val="left"/>
              <w:rPr>
                <w:rFonts w:ascii="宋体" w:hAnsi="宋体" w:eastAsia="宋体" w:cs="Times New Roman"/>
                <w:kern w:val="0"/>
                <w:sz w:val="24"/>
                <w:szCs w:val="24"/>
              </w:rPr>
            </w:pPr>
            <w:r>
              <w:rPr>
                <w:rFonts w:ascii="宋体" w:hAnsi="宋体" w:eastAsia="宋体" w:cs="Times New Roman"/>
                <w:kern w:val="0"/>
                <w:sz w:val="24"/>
                <w:szCs w:val="24"/>
              </w:rPr>
              <w:t>1)根据培养方案及课程设置规定，注重案例教学资源建设；2)案例内容丰富、新颖，可满足专业设置的需求。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trPr>
        <w:tc>
          <w:tcPr>
            <w:tcW w:w="988" w:type="dxa"/>
            <w:vMerge w:val="continue"/>
            <w:vAlign w:val="center"/>
          </w:tcPr>
          <w:p>
            <w:pPr>
              <w:widowControl/>
              <w:jc w:val="center"/>
              <w:rPr>
                <w:rFonts w:ascii="宋体" w:hAnsi="宋体" w:eastAsia="宋体" w:cs="Times New Roman"/>
                <w:kern w:val="0"/>
                <w:sz w:val="24"/>
                <w:szCs w:val="24"/>
              </w:rPr>
            </w:pPr>
          </w:p>
        </w:tc>
        <w:tc>
          <w:tcPr>
            <w:tcW w:w="877" w:type="dxa"/>
            <w:vMerge w:val="restart"/>
            <w:shd w:val="clear" w:color="auto" w:fill="auto"/>
            <w:vAlign w:val="center"/>
          </w:tcPr>
          <w:p>
            <w:pPr>
              <w:widowControl/>
              <w:jc w:val="center"/>
              <w:rPr>
                <w:rFonts w:ascii="宋体" w:hAnsi="宋体" w:eastAsia="宋体" w:cs="Times New Roman"/>
                <w:kern w:val="0"/>
                <w:sz w:val="24"/>
                <w:szCs w:val="24"/>
              </w:rPr>
            </w:pPr>
            <w:r>
              <w:rPr>
                <w:rFonts w:ascii="宋体" w:hAnsi="宋体" w:eastAsia="宋体" w:cs="Times New Roman"/>
                <w:kern w:val="0"/>
                <w:sz w:val="24"/>
                <w:szCs w:val="24"/>
              </w:rPr>
              <w:t>学位论文或毕业设计</w:t>
            </w:r>
          </w:p>
        </w:tc>
        <w:tc>
          <w:tcPr>
            <w:tcW w:w="1958" w:type="dxa"/>
            <w:shd w:val="clear" w:color="auto" w:fill="auto"/>
            <w:vAlign w:val="center"/>
          </w:tcPr>
          <w:p>
            <w:pPr>
              <w:widowControl/>
              <w:jc w:val="center"/>
              <w:rPr>
                <w:rFonts w:ascii="宋体" w:hAnsi="宋体" w:eastAsia="宋体" w:cs="Times New Roman"/>
                <w:kern w:val="0"/>
                <w:sz w:val="24"/>
                <w:szCs w:val="24"/>
              </w:rPr>
            </w:pPr>
            <w:r>
              <w:rPr>
                <w:rFonts w:ascii="宋体" w:hAnsi="宋体" w:eastAsia="宋体" w:cs="Times New Roman"/>
                <w:kern w:val="0"/>
                <w:sz w:val="24"/>
                <w:szCs w:val="24"/>
              </w:rPr>
              <w:t>选题</w:t>
            </w:r>
          </w:p>
        </w:tc>
        <w:tc>
          <w:tcPr>
            <w:tcW w:w="5096" w:type="dxa"/>
            <w:shd w:val="clear" w:color="auto" w:fill="auto"/>
            <w:vAlign w:val="center"/>
          </w:tcPr>
          <w:p>
            <w:pPr>
              <w:widowControl/>
              <w:jc w:val="left"/>
              <w:rPr>
                <w:rFonts w:ascii="宋体" w:hAnsi="宋体" w:eastAsia="宋体" w:cs="Times New Roman"/>
                <w:kern w:val="0"/>
                <w:sz w:val="24"/>
                <w:szCs w:val="24"/>
              </w:rPr>
            </w:pPr>
            <w:r>
              <w:rPr>
                <w:rFonts w:ascii="宋体" w:hAnsi="宋体" w:eastAsia="宋体" w:cs="Times New Roman"/>
                <w:kern w:val="0"/>
                <w:sz w:val="24"/>
                <w:szCs w:val="24"/>
              </w:rPr>
              <w:t>80%以上的学位论文或毕业设计选题来源于实践，新闻与传播行业的背景明确，应用性强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5" w:hRule="atLeast"/>
        </w:trPr>
        <w:tc>
          <w:tcPr>
            <w:tcW w:w="988" w:type="dxa"/>
            <w:vMerge w:val="continue"/>
            <w:vAlign w:val="center"/>
          </w:tcPr>
          <w:p>
            <w:pPr>
              <w:widowControl/>
              <w:jc w:val="left"/>
              <w:rPr>
                <w:rFonts w:ascii="宋体" w:hAnsi="宋体" w:eastAsia="宋体" w:cs="Times New Roman"/>
                <w:kern w:val="0"/>
                <w:sz w:val="24"/>
                <w:szCs w:val="24"/>
              </w:rPr>
            </w:pPr>
          </w:p>
        </w:tc>
        <w:tc>
          <w:tcPr>
            <w:tcW w:w="877" w:type="dxa"/>
            <w:vMerge w:val="continue"/>
            <w:vAlign w:val="center"/>
          </w:tcPr>
          <w:p>
            <w:pPr>
              <w:widowControl/>
              <w:jc w:val="left"/>
              <w:rPr>
                <w:rFonts w:ascii="宋体" w:hAnsi="宋体" w:eastAsia="宋体" w:cs="Times New Roman"/>
                <w:kern w:val="0"/>
                <w:sz w:val="24"/>
                <w:szCs w:val="24"/>
              </w:rPr>
            </w:pPr>
          </w:p>
        </w:tc>
        <w:tc>
          <w:tcPr>
            <w:tcW w:w="1958" w:type="dxa"/>
            <w:shd w:val="clear" w:color="auto" w:fill="auto"/>
            <w:vAlign w:val="center"/>
          </w:tcPr>
          <w:p>
            <w:pPr>
              <w:widowControl/>
              <w:jc w:val="center"/>
              <w:rPr>
                <w:rFonts w:ascii="宋体" w:hAnsi="宋体" w:eastAsia="宋体" w:cs="Times New Roman"/>
                <w:kern w:val="0"/>
                <w:sz w:val="24"/>
                <w:szCs w:val="24"/>
              </w:rPr>
            </w:pPr>
            <w:r>
              <w:rPr>
                <w:rFonts w:ascii="宋体" w:hAnsi="宋体" w:eastAsia="宋体" w:cs="Times New Roman"/>
                <w:kern w:val="0"/>
                <w:sz w:val="24"/>
                <w:szCs w:val="24"/>
              </w:rPr>
              <w:t>指导</w:t>
            </w:r>
          </w:p>
        </w:tc>
        <w:tc>
          <w:tcPr>
            <w:tcW w:w="5096" w:type="dxa"/>
            <w:shd w:val="clear" w:color="auto" w:fill="auto"/>
            <w:vAlign w:val="center"/>
          </w:tcPr>
          <w:p>
            <w:pPr>
              <w:widowControl/>
              <w:jc w:val="left"/>
              <w:rPr>
                <w:rFonts w:ascii="宋体" w:hAnsi="宋体" w:eastAsia="宋体" w:cs="Times New Roman"/>
                <w:kern w:val="0"/>
                <w:sz w:val="24"/>
                <w:szCs w:val="24"/>
              </w:rPr>
            </w:pPr>
            <w:r>
              <w:rPr>
                <w:rFonts w:ascii="宋体" w:hAnsi="宋体" w:eastAsia="宋体" w:cs="Times New Roman"/>
                <w:kern w:val="0"/>
                <w:sz w:val="24"/>
                <w:szCs w:val="24"/>
              </w:rPr>
              <w:t>1）有新闻与传播行业实践经验丰富的导师全程参与毕业论文或毕业设计指导；2）毕业论文或毕业设计指导过程规范，严谨、有效，开题报告、抽查、评审与答辩等环节工作落实、程序规范</w:t>
            </w:r>
            <w:r>
              <w:rPr>
                <w:rFonts w:hint="eastAsia" w:ascii="宋体" w:hAnsi="宋体" w:eastAsia="宋体" w:cs="Times New Roman"/>
                <w:kern w:val="0"/>
                <w:sz w:val="24"/>
                <w:szCs w:val="24"/>
              </w:rPr>
              <w:t>。</w:t>
            </w:r>
            <w:r>
              <w:rPr>
                <w:rFonts w:ascii="宋体" w:hAnsi="宋体" w:eastAsia="宋体" w:cs="Times New Roman"/>
                <w:kern w:val="0"/>
                <w:sz w:val="24"/>
                <w:szCs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0" w:hRule="atLeast"/>
        </w:trPr>
        <w:tc>
          <w:tcPr>
            <w:tcW w:w="988" w:type="dxa"/>
            <w:vMerge w:val="continue"/>
            <w:vAlign w:val="center"/>
          </w:tcPr>
          <w:p>
            <w:pPr>
              <w:widowControl/>
              <w:jc w:val="left"/>
              <w:rPr>
                <w:rFonts w:ascii="宋体" w:hAnsi="宋体" w:eastAsia="宋体" w:cs="Times New Roman"/>
                <w:kern w:val="0"/>
                <w:sz w:val="24"/>
                <w:szCs w:val="24"/>
              </w:rPr>
            </w:pPr>
          </w:p>
        </w:tc>
        <w:tc>
          <w:tcPr>
            <w:tcW w:w="877" w:type="dxa"/>
            <w:vMerge w:val="continue"/>
            <w:vAlign w:val="center"/>
          </w:tcPr>
          <w:p>
            <w:pPr>
              <w:widowControl/>
              <w:jc w:val="left"/>
              <w:rPr>
                <w:rFonts w:ascii="宋体" w:hAnsi="宋体" w:eastAsia="宋体" w:cs="Times New Roman"/>
                <w:kern w:val="0"/>
                <w:sz w:val="24"/>
                <w:szCs w:val="24"/>
              </w:rPr>
            </w:pPr>
          </w:p>
        </w:tc>
        <w:tc>
          <w:tcPr>
            <w:tcW w:w="1958" w:type="dxa"/>
            <w:shd w:val="clear" w:color="auto" w:fill="auto"/>
            <w:vAlign w:val="center"/>
          </w:tcPr>
          <w:p>
            <w:pPr>
              <w:widowControl/>
              <w:jc w:val="center"/>
              <w:rPr>
                <w:rFonts w:ascii="宋体" w:hAnsi="宋体" w:eastAsia="宋体" w:cs="Times New Roman"/>
                <w:kern w:val="0"/>
                <w:sz w:val="24"/>
                <w:szCs w:val="24"/>
              </w:rPr>
            </w:pPr>
            <w:r>
              <w:rPr>
                <w:rFonts w:ascii="宋体" w:hAnsi="宋体" w:eastAsia="宋体" w:cs="Times New Roman"/>
                <w:kern w:val="0"/>
                <w:sz w:val="24"/>
                <w:szCs w:val="24"/>
              </w:rPr>
              <w:t>质量</w:t>
            </w:r>
          </w:p>
        </w:tc>
        <w:tc>
          <w:tcPr>
            <w:tcW w:w="5096" w:type="dxa"/>
            <w:shd w:val="clear" w:color="auto" w:fill="auto"/>
            <w:vAlign w:val="center"/>
          </w:tcPr>
          <w:p>
            <w:pPr>
              <w:widowControl/>
              <w:jc w:val="left"/>
              <w:rPr>
                <w:rFonts w:ascii="宋体" w:hAnsi="宋体" w:eastAsia="宋体" w:cs="Times New Roman"/>
                <w:kern w:val="0"/>
                <w:sz w:val="24"/>
                <w:szCs w:val="24"/>
              </w:rPr>
            </w:pPr>
            <w:r>
              <w:rPr>
                <w:rFonts w:ascii="宋体" w:hAnsi="宋体" w:eastAsia="宋体" w:cs="Times New Roman"/>
                <w:kern w:val="0"/>
                <w:sz w:val="24"/>
                <w:szCs w:val="24"/>
              </w:rPr>
              <w:t>1）写作规范，内容充实，工作量饱满；2）综合运用基础理论、专业知识与科学方法解决新闻与传播行业实际问题，有一定的应用价值。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988" w:type="dxa"/>
            <w:vMerge w:val="restart"/>
            <w:vAlign w:val="center"/>
          </w:tcPr>
          <w:p>
            <w:pPr>
              <w:widowControl/>
              <w:jc w:val="center"/>
              <w:rPr>
                <w:rFonts w:ascii="宋体" w:hAnsi="宋体" w:eastAsia="宋体" w:cs="Times New Roman"/>
                <w:kern w:val="0"/>
                <w:sz w:val="24"/>
                <w:szCs w:val="24"/>
              </w:rPr>
            </w:pPr>
            <w:r>
              <w:rPr>
                <w:rFonts w:ascii="宋体" w:hAnsi="宋体" w:eastAsia="宋体"/>
                <w:kern w:val="0"/>
                <w:sz w:val="24"/>
                <w:szCs w:val="24"/>
              </w:rPr>
              <w:t>制度建设与基础设施</w:t>
            </w:r>
          </w:p>
        </w:tc>
        <w:tc>
          <w:tcPr>
            <w:tcW w:w="877" w:type="dxa"/>
            <w:vMerge w:val="restart"/>
            <w:shd w:val="clear" w:color="auto" w:fill="auto"/>
            <w:vAlign w:val="center"/>
          </w:tcPr>
          <w:p>
            <w:pPr>
              <w:widowControl/>
              <w:jc w:val="center"/>
              <w:rPr>
                <w:rFonts w:ascii="宋体" w:hAnsi="宋体" w:eastAsia="宋体" w:cs="Times New Roman"/>
                <w:kern w:val="0"/>
                <w:sz w:val="24"/>
                <w:szCs w:val="24"/>
              </w:rPr>
            </w:pPr>
            <w:r>
              <w:rPr>
                <w:rFonts w:ascii="宋体" w:hAnsi="宋体" w:eastAsia="宋体" w:cs="Times New Roman"/>
                <w:kern w:val="0"/>
                <w:sz w:val="24"/>
                <w:szCs w:val="24"/>
              </w:rPr>
              <w:t>制度</w:t>
            </w:r>
          </w:p>
          <w:p>
            <w:pPr>
              <w:widowControl/>
              <w:jc w:val="center"/>
              <w:rPr>
                <w:rFonts w:ascii="宋体" w:hAnsi="宋体" w:eastAsia="宋体" w:cs="Times New Roman"/>
                <w:kern w:val="0"/>
                <w:sz w:val="24"/>
                <w:szCs w:val="24"/>
              </w:rPr>
            </w:pPr>
            <w:r>
              <w:rPr>
                <w:rFonts w:ascii="宋体" w:hAnsi="宋体" w:eastAsia="宋体" w:cs="Times New Roman"/>
                <w:kern w:val="0"/>
                <w:sz w:val="24"/>
                <w:szCs w:val="24"/>
              </w:rPr>
              <w:t>建设</w:t>
            </w:r>
          </w:p>
        </w:tc>
        <w:tc>
          <w:tcPr>
            <w:tcW w:w="1958" w:type="dxa"/>
            <w:shd w:val="clear" w:color="auto" w:fill="auto"/>
            <w:vAlign w:val="center"/>
          </w:tcPr>
          <w:p>
            <w:pPr>
              <w:widowControl/>
              <w:jc w:val="center"/>
              <w:rPr>
                <w:rFonts w:ascii="宋体" w:hAnsi="宋体" w:eastAsia="宋体" w:cs="Times New Roman"/>
                <w:kern w:val="0"/>
                <w:sz w:val="24"/>
                <w:szCs w:val="24"/>
              </w:rPr>
            </w:pPr>
            <w:r>
              <w:rPr>
                <w:rFonts w:ascii="宋体" w:hAnsi="宋体" w:eastAsia="宋体" w:cs="Times New Roman"/>
                <w:kern w:val="0"/>
                <w:sz w:val="24"/>
                <w:szCs w:val="24"/>
              </w:rPr>
              <w:t>管理机构</w:t>
            </w:r>
          </w:p>
        </w:tc>
        <w:tc>
          <w:tcPr>
            <w:tcW w:w="5096" w:type="dxa"/>
            <w:shd w:val="clear" w:color="auto" w:fill="auto"/>
            <w:vAlign w:val="center"/>
          </w:tcPr>
          <w:p>
            <w:pPr>
              <w:widowControl/>
              <w:jc w:val="left"/>
              <w:rPr>
                <w:rFonts w:ascii="宋体" w:hAnsi="宋体" w:eastAsia="宋体" w:cs="Times New Roman"/>
                <w:kern w:val="0"/>
                <w:sz w:val="24"/>
                <w:szCs w:val="24"/>
              </w:rPr>
            </w:pPr>
            <w:r>
              <w:rPr>
                <w:rFonts w:ascii="宋体" w:hAnsi="宋体" w:eastAsia="宋体" w:cs="Times New Roman"/>
                <w:kern w:val="0"/>
                <w:sz w:val="24"/>
                <w:szCs w:val="24"/>
              </w:rPr>
              <w:t>管理机构健全，配备教学秘书，院（系）有专人管理，职责明确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988" w:type="dxa"/>
            <w:vMerge w:val="continue"/>
            <w:vAlign w:val="center"/>
          </w:tcPr>
          <w:p>
            <w:pPr>
              <w:widowControl/>
              <w:jc w:val="center"/>
              <w:rPr>
                <w:rFonts w:ascii="宋体" w:hAnsi="宋体" w:eastAsia="宋体" w:cs="Times New Roman"/>
                <w:kern w:val="0"/>
                <w:sz w:val="24"/>
                <w:szCs w:val="24"/>
              </w:rPr>
            </w:pPr>
          </w:p>
        </w:tc>
        <w:tc>
          <w:tcPr>
            <w:tcW w:w="877" w:type="dxa"/>
            <w:vMerge w:val="continue"/>
            <w:vAlign w:val="center"/>
          </w:tcPr>
          <w:p>
            <w:pPr>
              <w:widowControl/>
              <w:jc w:val="center"/>
              <w:rPr>
                <w:rFonts w:ascii="宋体" w:hAnsi="宋体" w:eastAsia="宋体" w:cs="Times New Roman"/>
                <w:kern w:val="0"/>
                <w:sz w:val="24"/>
                <w:szCs w:val="24"/>
              </w:rPr>
            </w:pPr>
          </w:p>
        </w:tc>
        <w:tc>
          <w:tcPr>
            <w:tcW w:w="1958" w:type="dxa"/>
            <w:shd w:val="clear" w:color="auto" w:fill="auto"/>
            <w:vAlign w:val="center"/>
          </w:tcPr>
          <w:p>
            <w:pPr>
              <w:widowControl/>
              <w:jc w:val="center"/>
              <w:rPr>
                <w:rFonts w:ascii="宋体" w:hAnsi="宋体" w:eastAsia="宋体" w:cs="Times New Roman"/>
                <w:kern w:val="0"/>
                <w:sz w:val="24"/>
                <w:szCs w:val="24"/>
              </w:rPr>
            </w:pPr>
            <w:r>
              <w:rPr>
                <w:rFonts w:ascii="宋体" w:hAnsi="宋体" w:eastAsia="宋体" w:cs="Times New Roman"/>
                <w:kern w:val="0"/>
                <w:sz w:val="24"/>
                <w:szCs w:val="24"/>
              </w:rPr>
              <w:t>日常工作制度</w:t>
            </w:r>
          </w:p>
        </w:tc>
        <w:tc>
          <w:tcPr>
            <w:tcW w:w="5096" w:type="dxa"/>
            <w:shd w:val="clear" w:color="auto" w:fill="auto"/>
            <w:vAlign w:val="center"/>
          </w:tcPr>
          <w:p>
            <w:pPr>
              <w:widowControl/>
              <w:jc w:val="left"/>
              <w:rPr>
                <w:rFonts w:ascii="宋体" w:hAnsi="宋体" w:eastAsia="宋体" w:cs="Times New Roman"/>
                <w:kern w:val="0"/>
                <w:sz w:val="24"/>
                <w:szCs w:val="24"/>
              </w:rPr>
            </w:pPr>
            <w:r>
              <w:rPr>
                <w:rFonts w:ascii="宋体" w:hAnsi="宋体" w:eastAsia="宋体" w:cs="Times New Roman"/>
                <w:kern w:val="0"/>
                <w:sz w:val="24"/>
                <w:szCs w:val="24"/>
              </w:rPr>
              <w:t>有完善的决策机制、工作流程、科研管理制度；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0" w:hRule="atLeast"/>
        </w:trPr>
        <w:tc>
          <w:tcPr>
            <w:tcW w:w="988" w:type="dxa"/>
            <w:vMerge w:val="continue"/>
            <w:vAlign w:val="center"/>
          </w:tcPr>
          <w:p>
            <w:pPr>
              <w:widowControl/>
              <w:jc w:val="center"/>
              <w:rPr>
                <w:rFonts w:ascii="宋体" w:hAnsi="宋体" w:eastAsia="宋体" w:cs="Times New Roman"/>
                <w:kern w:val="0"/>
                <w:sz w:val="24"/>
                <w:szCs w:val="24"/>
              </w:rPr>
            </w:pPr>
          </w:p>
        </w:tc>
        <w:tc>
          <w:tcPr>
            <w:tcW w:w="877" w:type="dxa"/>
            <w:vMerge w:val="continue"/>
            <w:vAlign w:val="center"/>
          </w:tcPr>
          <w:p>
            <w:pPr>
              <w:widowControl/>
              <w:jc w:val="center"/>
              <w:rPr>
                <w:rFonts w:ascii="宋体" w:hAnsi="宋体" w:eastAsia="宋体" w:cs="Times New Roman"/>
                <w:kern w:val="0"/>
                <w:sz w:val="24"/>
                <w:szCs w:val="24"/>
              </w:rPr>
            </w:pPr>
          </w:p>
        </w:tc>
        <w:tc>
          <w:tcPr>
            <w:tcW w:w="1958" w:type="dxa"/>
            <w:shd w:val="clear" w:color="auto" w:fill="auto"/>
            <w:vAlign w:val="center"/>
          </w:tcPr>
          <w:p>
            <w:pPr>
              <w:widowControl/>
              <w:jc w:val="center"/>
              <w:rPr>
                <w:rFonts w:ascii="宋体" w:hAnsi="宋体" w:eastAsia="宋体" w:cs="Times New Roman"/>
                <w:kern w:val="0"/>
                <w:sz w:val="24"/>
                <w:szCs w:val="24"/>
              </w:rPr>
            </w:pPr>
            <w:r>
              <w:rPr>
                <w:rFonts w:ascii="宋体" w:hAnsi="宋体" w:eastAsia="宋体" w:cs="Times New Roman"/>
                <w:kern w:val="0"/>
                <w:sz w:val="24"/>
                <w:szCs w:val="24"/>
              </w:rPr>
              <w:t>教学管理制度</w:t>
            </w:r>
          </w:p>
        </w:tc>
        <w:tc>
          <w:tcPr>
            <w:tcW w:w="5096" w:type="dxa"/>
            <w:shd w:val="clear" w:color="auto" w:fill="auto"/>
            <w:vAlign w:val="center"/>
          </w:tcPr>
          <w:p>
            <w:pPr>
              <w:widowControl/>
              <w:jc w:val="left"/>
              <w:rPr>
                <w:rFonts w:ascii="宋体" w:hAnsi="宋体" w:eastAsia="宋体" w:cs="Times New Roman"/>
                <w:kern w:val="0"/>
                <w:sz w:val="24"/>
                <w:szCs w:val="24"/>
              </w:rPr>
            </w:pPr>
            <w:r>
              <w:rPr>
                <w:rFonts w:ascii="宋体" w:hAnsi="宋体" w:eastAsia="宋体" w:cs="Times New Roman"/>
                <w:kern w:val="0"/>
                <w:sz w:val="24"/>
                <w:szCs w:val="24"/>
              </w:rPr>
              <w:t>1）有明确的考勤、质量评估、测试、奖惩等教学质量保障制度，文件齐全。2）学位论文指导、检查各环节落实，论文审查与答辩管理规范。3）教学方案和计划变动遵循规定程序。4）办学及学位授予严格执行国家教育主管部门规定，没有违规行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trPr>
        <w:tc>
          <w:tcPr>
            <w:tcW w:w="988" w:type="dxa"/>
            <w:vMerge w:val="continue"/>
            <w:vAlign w:val="center"/>
          </w:tcPr>
          <w:p>
            <w:pPr>
              <w:widowControl/>
              <w:jc w:val="center"/>
              <w:rPr>
                <w:rFonts w:ascii="宋体" w:hAnsi="宋体" w:eastAsia="宋体" w:cs="Times New Roman"/>
                <w:kern w:val="0"/>
                <w:sz w:val="24"/>
                <w:szCs w:val="24"/>
              </w:rPr>
            </w:pPr>
          </w:p>
        </w:tc>
        <w:tc>
          <w:tcPr>
            <w:tcW w:w="877" w:type="dxa"/>
            <w:vMerge w:val="continue"/>
            <w:vAlign w:val="center"/>
          </w:tcPr>
          <w:p>
            <w:pPr>
              <w:widowControl/>
              <w:jc w:val="center"/>
              <w:rPr>
                <w:rFonts w:ascii="宋体" w:hAnsi="宋体" w:eastAsia="宋体" w:cs="Times New Roman"/>
                <w:kern w:val="0"/>
                <w:sz w:val="24"/>
                <w:szCs w:val="24"/>
              </w:rPr>
            </w:pPr>
          </w:p>
        </w:tc>
        <w:tc>
          <w:tcPr>
            <w:tcW w:w="1958" w:type="dxa"/>
            <w:shd w:val="clear" w:color="auto" w:fill="auto"/>
            <w:vAlign w:val="center"/>
          </w:tcPr>
          <w:p>
            <w:pPr>
              <w:widowControl/>
              <w:jc w:val="center"/>
              <w:rPr>
                <w:rFonts w:ascii="宋体" w:hAnsi="宋体" w:eastAsia="宋体" w:cs="Times New Roman"/>
                <w:kern w:val="0"/>
                <w:sz w:val="24"/>
                <w:szCs w:val="24"/>
              </w:rPr>
            </w:pPr>
            <w:r>
              <w:rPr>
                <w:rFonts w:ascii="宋体" w:hAnsi="宋体" w:eastAsia="宋体" w:cs="Times New Roman"/>
                <w:kern w:val="0"/>
                <w:sz w:val="24"/>
                <w:szCs w:val="24"/>
              </w:rPr>
              <w:t>培养经费管理</w:t>
            </w:r>
          </w:p>
        </w:tc>
        <w:tc>
          <w:tcPr>
            <w:tcW w:w="5096" w:type="dxa"/>
            <w:shd w:val="clear" w:color="auto" w:fill="auto"/>
            <w:vAlign w:val="center"/>
          </w:tcPr>
          <w:p>
            <w:pPr>
              <w:widowControl/>
              <w:jc w:val="left"/>
              <w:rPr>
                <w:rFonts w:ascii="宋体" w:hAnsi="宋体" w:eastAsia="宋体" w:cs="Times New Roman"/>
                <w:kern w:val="0"/>
                <w:sz w:val="24"/>
                <w:szCs w:val="24"/>
              </w:rPr>
            </w:pPr>
            <w:r>
              <w:rPr>
                <w:rFonts w:ascii="宋体" w:hAnsi="宋体" w:eastAsia="宋体" w:cs="Times New Roman"/>
                <w:kern w:val="0"/>
                <w:sz w:val="24"/>
                <w:szCs w:val="24"/>
              </w:rPr>
              <w:t>1）有充足、稳定的经费投入，与学术型研究生相比，有专项实践教育的经费；</w:t>
            </w:r>
            <w:r>
              <w:rPr>
                <w:rFonts w:ascii="宋体" w:hAnsi="宋体" w:eastAsia="宋体" w:cs="Times New Roman"/>
                <w:kern w:val="0"/>
                <w:sz w:val="24"/>
                <w:szCs w:val="24"/>
              </w:rPr>
              <w:br w:type="textWrapping"/>
            </w:r>
            <w:r>
              <w:rPr>
                <w:rFonts w:ascii="宋体" w:hAnsi="宋体" w:eastAsia="宋体" w:cs="Times New Roman"/>
                <w:kern w:val="0"/>
                <w:sz w:val="24"/>
                <w:szCs w:val="24"/>
              </w:rPr>
              <w:t>2)有健全的财务管理制度，无任何违反财务制度的行为。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trPr>
        <w:tc>
          <w:tcPr>
            <w:tcW w:w="988" w:type="dxa"/>
            <w:vMerge w:val="continue"/>
            <w:vAlign w:val="center"/>
          </w:tcPr>
          <w:p>
            <w:pPr>
              <w:widowControl/>
              <w:jc w:val="center"/>
              <w:rPr>
                <w:rFonts w:ascii="宋体" w:hAnsi="宋体" w:eastAsia="宋体" w:cs="Times New Roman"/>
                <w:kern w:val="0"/>
                <w:sz w:val="24"/>
                <w:szCs w:val="24"/>
              </w:rPr>
            </w:pPr>
          </w:p>
        </w:tc>
        <w:tc>
          <w:tcPr>
            <w:tcW w:w="877" w:type="dxa"/>
            <w:vMerge w:val="continue"/>
            <w:vAlign w:val="center"/>
          </w:tcPr>
          <w:p>
            <w:pPr>
              <w:widowControl/>
              <w:jc w:val="center"/>
              <w:rPr>
                <w:rFonts w:ascii="宋体" w:hAnsi="宋体" w:eastAsia="宋体" w:cs="Times New Roman"/>
                <w:kern w:val="0"/>
                <w:sz w:val="24"/>
                <w:szCs w:val="24"/>
              </w:rPr>
            </w:pPr>
          </w:p>
        </w:tc>
        <w:tc>
          <w:tcPr>
            <w:tcW w:w="1958" w:type="dxa"/>
            <w:shd w:val="clear" w:color="auto" w:fill="auto"/>
            <w:vAlign w:val="center"/>
          </w:tcPr>
          <w:p>
            <w:pPr>
              <w:widowControl/>
              <w:jc w:val="center"/>
              <w:rPr>
                <w:rFonts w:ascii="宋体" w:hAnsi="宋体" w:eastAsia="宋体" w:cs="Times New Roman"/>
                <w:kern w:val="0"/>
                <w:sz w:val="24"/>
                <w:szCs w:val="24"/>
              </w:rPr>
            </w:pPr>
            <w:r>
              <w:rPr>
                <w:rFonts w:ascii="宋体" w:hAnsi="宋体" w:eastAsia="宋体" w:cs="Times New Roman"/>
                <w:kern w:val="0"/>
                <w:sz w:val="24"/>
                <w:szCs w:val="24"/>
              </w:rPr>
              <w:t>档案管理</w:t>
            </w:r>
          </w:p>
        </w:tc>
        <w:tc>
          <w:tcPr>
            <w:tcW w:w="5096" w:type="dxa"/>
            <w:shd w:val="clear" w:color="auto" w:fill="auto"/>
            <w:vAlign w:val="center"/>
          </w:tcPr>
          <w:p>
            <w:pPr>
              <w:widowControl/>
              <w:jc w:val="left"/>
              <w:rPr>
                <w:rFonts w:ascii="宋体" w:hAnsi="宋体" w:eastAsia="宋体" w:cs="Times New Roman"/>
                <w:kern w:val="0"/>
                <w:sz w:val="24"/>
                <w:szCs w:val="24"/>
              </w:rPr>
            </w:pPr>
            <w:r>
              <w:rPr>
                <w:rFonts w:ascii="宋体" w:hAnsi="宋体" w:eastAsia="宋体" w:cs="Times New Roman"/>
                <w:kern w:val="0"/>
                <w:sz w:val="24"/>
                <w:szCs w:val="24"/>
              </w:rPr>
              <w:t>近三年学籍、试卷（答卷）、成绩、教学质量评估、实践、论文开题报告、论文答辩记录等教学和学位申请文件规范且齐全</w:t>
            </w:r>
            <w:r>
              <w:rPr>
                <w:rFonts w:hint="eastAsia" w:ascii="宋体" w:hAnsi="宋体" w:eastAsia="宋体" w:cs="Times New Roman"/>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trPr>
        <w:tc>
          <w:tcPr>
            <w:tcW w:w="988" w:type="dxa"/>
            <w:vMerge w:val="continue"/>
            <w:vAlign w:val="center"/>
          </w:tcPr>
          <w:p>
            <w:pPr>
              <w:widowControl/>
              <w:jc w:val="center"/>
              <w:rPr>
                <w:rFonts w:ascii="宋体" w:hAnsi="宋体" w:eastAsia="宋体" w:cs="Times New Roman"/>
                <w:kern w:val="0"/>
                <w:sz w:val="24"/>
                <w:szCs w:val="24"/>
              </w:rPr>
            </w:pPr>
          </w:p>
        </w:tc>
        <w:tc>
          <w:tcPr>
            <w:tcW w:w="877" w:type="dxa"/>
            <w:vMerge w:val="restart"/>
            <w:shd w:val="clear" w:color="auto" w:fill="auto"/>
            <w:vAlign w:val="center"/>
          </w:tcPr>
          <w:p>
            <w:pPr>
              <w:widowControl/>
              <w:jc w:val="center"/>
              <w:rPr>
                <w:rFonts w:ascii="宋体" w:hAnsi="宋体" w:eastAsia="宋体" w:cs="Times New Roman"/>
                <w:kern w:val="0"/>
                <w:sz w:val="24"/>
                <w:szCs w:val="24"/>
              </w:rPr>
            </w:pPr>
            <w:r>
              <w:rPr>
                <w:rFonts w:ascii="宋体" w:hAnsi="宋体" w:eastAsia="宋体" w:cs="Times New Roman"/>
                <w:kern w:val="0"/>
                <w:sz w:val="24"/>
                <w:szCs w:val="24"/>
              </w:rPr>
              <w:t>培养基地建设</w:t>
            </w:r>
          </w:p>
        </w:tc>
        <w:tc>
          <w:tcPr>
            <w:tcW w:w="1958" w:type="dxa"/>
            <w:shd w:val="clear" w:color="auto" w:fill="auto"/>
            <w:vAlign w:val="center"/>
          </w:tcPr>
          <w:p>
            <w:pPr>
              <w:widowControl/>
              <w:jc w:val="center"/>
              <w:rPr>
                <w:rFonts w:ascii="宋体" w:hAnsi="宋体" w:eastAsia="宋体" w:cs="Times New Roman"/>
                <w:kern w:val="0"/>
                <w:sz w:val="24"/>
                <w:szCs w:val="24"/>
              </w:rPr>
            </w:pPr>
            <w:r>
              <w:rPr>
                <w:rFonts w:ascii="宋体" w:hAnsi="宋体" w:eastAsia="宋体" w:cs="Times New Roman"/>
                <w:kern w:val="0"/>
                <w:sz w:val="24"/>
                <w:szCs w:val="24"/>
              </w:rPr>
              <w:t>合作机制</w:t>
            </w:r>
          </w:p>
        </w:tc>
        <w:tc>
          <w:tcPr>
            <w:tcW w:w="5096" w:type="dxa"/>
            <w:shd w:val="clear" w:color="auto" w:fill="auto"/>
            <w:vAlign w:val="center"/>
          </w:tcPr>
          <w:p>
            <w:pPr>
              <w:widowControl/>
              <w:jc w:val="left"/>
              <w:rPr>
                <w:rFonts w:ascii="宋体" w:hAnsi="宋体" w:eastAsia="宋体" w:cs="Times New Roman"/>
                <w:kern w:val="0"/>
                <w:sz w:val="24"/>
                <w:szCs w:val="24"/>
              </w:rPr>
            </w:pPr>
            <w:r>
              <w:rPr>
                <w:rFonts w:ascii="宋体" w:hAnsi="宋体" w:eastAsia="宋体" w:cs="Times New Roman"/>
                <w:kern w:val="0"/>
                <w:sz w:val="24"/>
                <w:szCs w:val="24"/>
              </w:rPr>
              <w:t>1)培养单位与传媒企事业单位签署了联合培养基地建设的合作协议</w:t>
            </w:r>
            <w:r>
              <w:rPr>
                <w:rFonts w:ascii="宋体" w:hAnsi="宋体" w:eastAsia="宋体" w:cs="Times New Roman"/>
                <w:kern w:val="0"/>
                <w:sz w:val="24"/>
                <w:szCs w:val="24"/>
              </w:rPr>
              <w:br w:type="textWrapping"/>
            </w:r>
            <w:r>
              <w:rPr>
                <w:rFonts w:ascii="宋体" w:hAnsi="宋体" w:eastAsia="宋体" w:cs="Times New Roman"/>
                <w:kern w:val="0"/>
                <w:sz w:val="24"/>
                <w:szCs w:val="24"/>
              </w:rPr>
              <w:t>2)联合培养基地有清晰的组织结构、完善的基地管理制度、知识产权保护机制、成果转化机制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4" w:hRule="atLeast"/>
        </w:trPr>
        <w:tc>
          <w:tcPr>
            <w:tcW w:w="988" w:type="dxa"/>
            <w:vMerge w:val="continue"/>
            <w:vAlign w:val="center"/>
          </w:tcPr>
          <w:p>
            <w:pPr>
              <w:widowControl/>
              <w:jc w:val="center"/>
              <w:rPr>
                <w:rFonts w:ascii="宋体" w:hAnsi="宋体" w:eastAsia="宋体" w:cs="Times New Roman"/>
                <w:kern w:val="0"/>
                <w:sz w:val="24"/>
                <w:szCs w:val="24"/>
              </w:rPr>
            </w:pPr>
          </w:p>
        </w:tc>
        <w:tc>
          <w:tcPr>
            <w:tcW w:w="877" w:type="dxa"/>
            <w:vMerge w:val="continue"/>
            <w:vAlign w:val="center"/>
          </w:tcPr>
          <w:p>
            <w:pPr>
              <w:widowControl/>
              <w:jc w:val="center"/>
              <w:rPr>
                <w:rFonts w:ascii="宋体" w:hAnsi="宋体" w:eastAsia="宋体" w:cs="Times New Roman"/>
                <w:kern w:val="0"/>
                <w:sz w:val="24"/>
                <w:szCs w:val="24"/>
              </w:rPr>
            </w:pPr>
          </w:p>
        </w:tc>
        <w:tc>
          <w:tcPr>
            <w:tcW w:w="1958" w:type="dxa"/>
            <w:shd w:val="clear" w:color="auto" w:fill="auto"/>
            <w:vAlign w:val="center"/>
          </w:tcPr>
          <w:p>
            <w:pPr>
              <w:widowControl/>
              <w:jc w:val="center"/>
              <w:rPr>
                <w:rFonts w:ascii="宋体" w:hAnsi="宋体" w:eastAsia="宋体" w:cs="Times New Roman"/>
                <w:kern w:val="0"/>
                <w:sz w:val="24"/>
                <w:szCs w:val="24"/>
              </w:rPr>
            </w:pPr>
            <w:r>
              <w:rPr>
                <w:rFonts w:ascii="宋体" w:hAnsi="宋体" w:eastAsia="宋体" w:cs="Times New Roman"/>
                <w:kern w:val="0"/>
                <w:sz w:val="24"/>
                <w:szCs w:val="24"/>
              </w:rPr>
              <w:t>基地规模与</w:t>
            </w:r>
          </w:p>
          <w:p>
            <w:pPr>
              <w:widowControl/>
              <w:jc w:val="center"/>
              <w:rPr>
                <w:rFonts w:ascii="宋体" w:hAnsi="宋体" w:eastAsia="宋体" w:cs="Times New Roman"/>
                <w:kern w:val="0"/>
                <w:sz w:val="24"/>
                <w:szCs w:val="24"/>
              </w:rPr>
            </w:pPr>
            <w:r>
              <w:rPr>
                <w:rFonts w:ascii="宋体" w:hAnsi="宋体" w:eastAsia="宋体" w:cs="Times New Roman"/>
                <w:kern w:val="0"/>
                <w:sz w:val="24"/>
                <w:szCs w:val="24"/>
              </w:rPr>
              <w:t>影响力</w:t>
            </w:r>
          </w:p>
        </w:tc>
        <w:tc>
          <w:tcPr>
            <w:tcW w:w="5096" w:type="dxa"/>
            <w:shd w:val="clear" w:color="auto" w:fill="auto"/>
            <w:vAlign w:val="center"/>
          </w:tcPr>
          <w:p>
            <w:pPr>
              <w:widowControl/>
              <w:jc w:val="left"/>
              <w:rPr>
                <w:rFonts w:ascii="宋体" w:hAnsi="宋体" w:eastAsia="宋体" w:cs="Times New Roman"/>
                <w:kern w:val="0"/>
                <w:sz w:val="24"/>
                <w:szCs w:val="24"/>
              </w:rPr>
            </w:pPr>
            <w:r>
              <w:rPr>
                <w:rFonts w:ascii="宋体" w:hAnsi="宋体" w:eastAsia="宋体" w:cs="Times New Roman"/>
                <w:kern w:val="0"/>
                <w:sz w:val="24"/>
                <w:szCs w:val="24"/>
              </w:rPr>
              <w:t>1)与培养单位共建培养基地的企事业单位应具有较大规模、较强的社会影响力，无不良运营行为，具有良好的行业信用、社会品牌和声誉。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988" w:type="dxa"/>
            <w:vMerge w:val="continue"/>
            <w:vAlign w:val="center"/>
          </w:tcPr>
          <w:p>
            <w:pPr>
              <w:widowControl/>
              <w:jc w:val="center"/>
              <w:rPr>
                <w:rFonts w:ascii="宋体" w:hAnsi="宋体" w:eastAsia="宋体" w:cs="Times New Roman"/>
                <w:kern w:val="0"/>
                <w:sz w:val="24"/>
                <w:szCs w:val="24"/>
              </w:rPr>
            </w:pPr>
          </w:p>
        </w:tc>
        <w:tc>
          <w:tcPr>
            <w:tcW w:w="877" w:type="dxa"/>
            <w:vMerge w:val="continue"/>
            <w:vAlign w:val="center"/>
          </w:tcPr>
          <w:p>
            <w:pPr>
              <w:widowControl/>
              <w:jc w:val="center"/>
              <w:rPr>
                <w:rFonts w:ascii="宋体" w:hAnsi="宋体" w:eastAsia="宋体" w:cs="Times New Roman"/>
                <w:kern w:val="0"/>
                <w:sz w:val="24"/>
                <w:szCs w:val="24"/>
              </w:rPr>
            </w:pPr>
          </w:p>
        </w:tc>
        <w:tc>
          <w:tcPr>
            <w:tcW w:w="1958" w:type="dxa"/>
            <w:shd w:val="clear" w:color="auto" w:fill="auto"/>
            <w:vAlign w:val="center"/>
          </w:tcPr>
          <w:p>
            <w:pPr>
              <w:widowControl/>
              <w:jc w:val="center"/>
              <w:rPr>
                <w:rFonts w:ascii="宋体" w:hAnsi="宋体" w:eastAsia="宋体" w:cs="Times New Roman"/>
                <w:kern w:val="0"/>
                <w:sz w:val="24"/>
                <w:szCs w:val="24"/>
              </w:rPr>
            </w:pPr>
            <w:r>
              <w:rPr>
                <w:rFonts w:ascii="宋体" w:hAnsi="宋体" w:eastAsia="宋体" w:cs="Times New Roman"/>
                <w:kern w:val="0"/>
                <w:sz w:val="24"/>
                <w:szCs w:val="24"/>
              </w:rPr>
              <w:t>资源投入</w:t>
            </w:r>
          </w:p>
        </w:tc>
        <w:tc>
          <w:tcPr>
            <w:tcW w:w="5096" w:type="dxa"/>
            <w:shd w:val="clear" w:color="auto" w:fill="auto"/>
            <w:vAlign w:val="center"/>
          </w:tcPr>
          <w:p>
            <w:pPr>
              <w:widowControl/>
              <w:jc w:val="left"/>
              <w:rPr>
                <w:rFonts w:ascii="宋体" w:hAnsi="宋体" w:eastAsia="宋体" w:cs="Times New Roman"/>
                <w:kern w:val="0"/>
                <w:sz w:val="24"/>
                <w:szCs w:val="24"/>
              </w:rPr>
            </w:pPr>
            <w:r>
              <w:rPr>
                <w:rFonts w:ascii="宋体" w:hAnsi="宋体" w:eastAsia="宋体" w:cs="Times New Roman"/>
                <w:kern w:val="0"/>
                <w:sz w:val="24"/>
                <w:szCs w:val="24"/>
              </w:rPr>
              <w:t>联合培养基地应有稳定的人、财、物等资源投入制度，能够满足研究生培养需求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trPr>
        <w:tc>
          <w:tcPr>
            <w:tcW w:w="988" w:type="dxa"/>
            <w:vMerge w:val="continue"/>
            <w:vAlign w:val="center"/>
          </w:tcPr>
          <w:p>
            <w:pPr>
              <w:widowControl/>
              <w:jc w:val="center"/>
              <w:rPr>
                <w:rFonts w:ascii="宋体" w:hAnsi="宋体" w:eastAsia="宋体" w:cs="Times New Roman"/>
                <w:kern w:val="0"/>
                <w:sz w:val="24"/>
                <w:szCs w:val="24"/>
              </w:rPr>
            </w:pPr>
          </w:p>
        </w:tc>
        <w:tc>
          <w:tcPr>
            <w:tcW w:w="877" w:type="dxa"/>
            <w:vMerge w:val="restart"/>
            <w:shd w:val="clear" w:color="auto" w:fill="auto"/>
            <w:vAlign w:val="center"/>
          </w:tcPr>
          <w:p>
            <w:pPr>
              <w:widowControl/>
              <w:jc w:val="center"/>
              <w:rPr>
                <w:rFonts w:ascii="宋体" w:hAnsi="宋体" w:eastAsia="宋体" w:cs="Times New Roman"/>
                <w:kern w:val="0"/>
                <w:sz w:val="24"/>
                <w:szCs w:val="24"/>
              </w:rPr>
            </w:pPr>
            <w:r>
              <w:rPr>
                <w:rFonts w:ascii="宋体" w:hAnsi="宋体" w:eastAsia="宋体" w:cs="Times New Roman"/>
                <w:kern w:val="0"/>
                <w:sz w:val="24"/>
                <w:szCs w:val="24"/>
              </w:rPr>
              <w:t>实训</w:t>
            </w:r>
          </w:p>
          <w:p>
            <w:pPr>
              <w:widowControl/>
              <w:jc w:val="center"/>
              <w:rPr>
                <w:rFonts w:ascii="宋体" w:hAnsi="宋体" w:eastAsia="宋体" w:cs="Times New Roman"/>
                <w:kern w:val="0"/>
                <w:sz w:val="24"/>
                <w:szCs w:val="24"/>
              </w:rPr>
            </w:pPr>
            <w:r>
              <w:rPr>
                <w:rFonts w:ascii="宋体" w:hAnsi="宋体" w:eastAsia="宋体" w:cs="Times New Roman"/>
                <w:kern w:val="0"/>
                <w:sz w:val="24"/>
                <w:szCs w:val="24"/>
              </w:rPr>
              <w:t>设施</w:t>
            </w:r>
          </w:p>
        </w:tc>
        <w:tc>
          <w:tcPr>
            <w:tcW w:w="1958" w:type="dxa"/>
            <w:shd w:val="clear" w:color="auto" w:fill="auto"/>
            <w:vAlign w:val="center"/>
          </w:tcPr>
          <w:p>
            <w:pPr>
              <w:widowControl/>
              <w:jc w:val="center"/>
              <w:rPr>
                <w:rFonts w:ascii="宋体" w:hAnsi="宋体" w:eastAsia="宋体" w:cs="Times New Roman"/>
                <w:kern w:val="0"/>
                <w:sz w:val="24"/>
                <w:szCs w:val="24"/>
              </w:rPr>
            </w:pPr>
            <w:r>
              <w:rPr>
                <w:rFonts w:ascii="宋体" w:hAnsi="宋体" w:eastAsia="宋体" w:cs="Times New Roman"/>
                <w:kern w:val="0"/>
                <w:sz w:val="24"/>
                <w:szCs w:val="24"/>
              </w:rPr>
              <w:t>实训设备</w:t>
            </w:r>
          </w:p>
        </w:tc>
        <w:tc>
          <w:tcPr>
            <w:tcW w:w="5096" w:type="dxa"/>
            <w:shd w:val="clear" w:color="auto" w:fill="auto"/>
            <w:vAlign w:val="center"/>
          </w:tcPr>
          <w:p>
            <w:pPr>
              <w:widowControl/>
              <w:jc w:val="left"/>
              <w:rPr>
                <w:rFonts w:ascii="宋体" w:hAnsi="宋体" w:eastAsia="宋体" w:cs="Times New Roman"/>
                <w:kern w:val="0"/>
                <w:sz w:val="24"/>
                <w:szCs w:val="24"/>
              </w:rPr>
            </w:pPr>
            <w:r>
              <w:rPr>
                <w:rFonts w:ascii="宋体" w:hAnsi="宋体" w:eastAsia="宋体" w:cs="Times New Roman"/>
                <w:kern w:val="0"/>
                <w:sz w:val="24"/>
                <w:szCs w:val="24"/>
              </w:rPr>
              <w:t>1)状态良好的专业实训设备，能够满足培养计划的需求；2)健全的实训设备使用说明、使用制度，并得到有效执行。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trPr>
        <w:tc>
          <w:tcPr>
            <w:tcW w:w="988" w:type="dxa"/>
            <w:vMerge w:val="continue"/>
            <w:vAlign w:val="center"/>
          </w:tcPr>
          <w:p>
            <w:pPr>
              <w:widowControl/>
              <w:jc w:val="center"/>
              <w:rPr>
                <w:rFonts w:ascii="宋体" w:hAnsi="宋体" w:eastAsia="宋体" w:cs="Times New Roman"/>
                <w:kern w:val="0"/>
                <w:sz w:val="24"/>
                <w:szCs w:val="24"/>
              </w:rPr>
            </w:pPr>
          </w:p>
        </w:tc>
        <w:tc>
          <w:tcPr>
            <w:tcW w:w="877" w:type="dxa"/>
            <w:vMerge w:val="continue"/>
            <w:vAlign w:val="center"/>
          </w:tcPr>
          <w:p>
            <w:pPr>
              <w:widowControl/>
              <w:jc w:val="center"/>
              <w:rPr>
                <w:rFonts w:ascii="宋体" w:hAnsi="宋体" w:eastAsia="宋体" w:cs="Times New Roman"/>
                <w:kern w:val="0"/>
                <w:sz w:val="24"/>
                <w:szCs w:val="24"/>
              </w:rPr>
            </w:pPr>
          </w:p>
        </w:tc>
        <w:tc>
          <w:tcPr>
            <w:tcW w:w="1958" w:type="dxa"/>
            <w:shd w:val="clear" w:color="auto" w:fill="auto"/>
            <w:vAlign w:val="center"/>
          </w:tcPr>
          <w:p>
            <w:pPr>
              <w:widowControl/>
              <w:jc w:val="center"/>
              <w:rPr>
                <w:rFonts w:ascii="宋体" w:hAnsi="宋体" w:eastAsia="宋体" w:cs="Times New Roman"/>
                <w:kern w:val="0"/>
                <w:sz w:val="24"/>
                <w:szCs w:val="24"/>
              </w:rPr>
            </w:pPr>
            <w:r>
              <w:rPr>
                <w:rFonts w:ascii="宋体" w:hAnsi="宋体" w:eastAsia="宋体" w:cs="Times New Roman"/>
                <w:kern w:val="0"/>
                <w:sz w:val="24"/>
                <w:szCs w:val="24"/>
              </w:rPr>
              <w:t>实训场地</w:t>
            </w:r>
          </w:p>
        </w:tc>
        <w:tc>
          <w:tcPr>
            <w:tcW w:w="5096" w:type="dxa"/>
            <w:shd w:val="clear" w:color="auto" w:fill="auto"/>
            <w:vAlign w:val="center"/>
          </w:tcPr>
          <w:p>
            <w:pPr>
              <w:widowControl/>
              <w:jc w:val="left"/>
              <w:rPr>
                <w:rFonts w:ascii="宋体" w:hAnsi="宋体" w:eastAsia="宋体" w:cs="Times New Roman"/>
                <w:kern w:val="0"/>
                <w:sz w:val="24"/>
                <w:szCs w:val="24"/>
              </w:rPr>
            </w:pPr>
            <w:r>
              <w:rPr>
                <w:rFonts w:ascii="宋体" w:hAnsi="宋体" w:eastAsia="宋体" w:cs="Times New Roman"/>
                <w:kern w:val="0"/>
                <w:sz w:val="24"/>
                <w:szCs w:val="24"/>
              </w:rPr>
              <w:t>1）专门的的实训场地，能够满足培养计划的需求。</w:t>
            </w:r>
            <w:r>
              <w:rPr>
                <w:rFonts w:ascii="宋体" w:hAnsi="宋体" w:eastAsia="宋体" w:cs="Times New Roman"/>
                <w:kern w:val="0"/>
                <w:sz w:val="24"/>
                <w:szCs w:val="24"/>
              </w:rPr>
              <w:br w:type="textWrapping"/>
            </w:r>
            <w:r>
              <w:rPr>
                <w:rFonts w:ascii="宋体" w:hAnsi="宋体" w:eastAsia="宋体" w:cs="Times New Roman"/>
                <w:kern w:val="0"/>
                <w:sz w:val="24"/>
                <w:szCs w:val="24"/>
              </w:rPr>
              <w:t>2）健全的实训场地使用说明、使用制度，并得到有效执行。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988" w:type="dxa"/>
            <w:vMerge w:val="continue"/>
            <w:vAlign w:val="center"/>
          </w:tcPr>
          <w:p>
            <w:pPr>
              <w:widowControl/>
              <w:jc w:val="center"/>
              <w:rPr>
                <w:rFonts w:ascii="宋体" w:hAnsi="宋体" w:eastAsia="宋体" w:cs="Times New Roman"/>
                <w:kern w:val="0"/>
                <w:sz w:val="24"/>
                <w:szCs w:val="24"/>
              </w:rPr>
            </w:pPr>
          </w:p>
        </w:tc>
        <w:tc>
          <w:tcPr>
            <w:tcW w:w="877" w:type="dxa"/>
            <w:vMerge w:val="restart"/>
            <w:shd w:val="clear" w:color="auto" w:fill="auto"/>
            <w:vAlign w:val="center"/>
          </w:tcPr>
          <w:p>
            <w:pPr>
              <w:widowControl/>
              <w:jc w:val="center"/>
              <w:rPr>
                <w:rFonts w:ascii="宋体" w:hAnsi="宋体" w:eastAsia="宋体" w:cs="Times New Roman"/>
                <w:kern w:val="0"/>
                <w:sz w:val="24"/>
                <w:szCs w:val="24"/>
              </w:rPr>
            </w:pPr>
            <w:r>
              <w:rPr>
                <w:rFonts w:ascii="宋体" w:hAnsi="宋体" w:eastAsia="宋体" w:cs="Times New Roman"/>
                <w:kern w:val="0"/>
                <w:sz w:val="24"/>
                <w:szCs w:val="24"/>
              </w:rPr>
              <w:t>实训</w:t>
            </w:r>
          </w:p>
          <w:p>
            <w:pPr>
              <w:widowControl/>
              <w:jc w:val="center"/>
              <w:rPr>
                <w:rFonts w:ascii="宋体" w:hAnsi="宋体" w:eastAsia="宋体" w:cs="Times New Roman"/>
                <w:kern w:val="0"/>
                <w:sz w:val="24"/>
                <w:szCs w:val="24"/>
              </w:rPr>
            </w:pPr>
            <w:r>
              <w:rPr>
                <w:rFonts w:ascii="宋体" w:hAnsi="宋体" w:eastAsia="宋体" w:cs="Times New Roman"/>
                <w:kern w:val="0"/>
                <w:sz w:val="24"/>
                <w:szCs w:val="24"/>
              </w:rPr>
              <w:t>岗位</w:t>
            </w:r>
          </w:p>
        </w:tc>
        <w:tc>
          <w:tcPr>
            <w:tcW w:w="1958" w:type="dxa"/>
            <w:shd w:val="clear" w:color="auto" w:fill="auto"/>
            <w:vAlign w:val="center"/>
          </w:tcPr>
          <w:p>
            <w:pPr>
              <w:widowControl/>
              <w:jc w:val="center"/>
              <w:rPr>
                <w:rFonts w:ascii="宋体" w:hAnsi="宋体" w:eastAsia="宋体" w:cs="Times New Roman"/>
                <w:kern w:val="0"/>
                <w:sz w:val="24"/>
                <w:szCs w:val="24"/>
              </w:rPr>
            </w:pPr>
            <w:r>
              <w:rPr>
                <w:rFonts w:ascii="宋体" w:hAnsi="宋体" w:eastAsia="宋体" w:cs="Times New Roman"/>
                <w:kern w:val="0"/>
                <w:sz w:val="24"/>
                <w:szCs w:val="24"/>
              </w:rPr>
              <w:t>实训岗位</w:t>
            </w:r>
          </w:p>
        </w:tc>
        <w:tc>
          <w:tcPr>
            <w:tcW w:w="5096" w:type="dxa"/>
            <w:shd w:val="clear" w:color="auto" w:fill="auto"/>
            <w:vAlign w:val="center"/>
          </w:tcPr>
          <w:p>
            <w:pPr>
              <w:widowControl/>
              <w:jc w:val="left"/>
              <w:rPr>
                <w:rFonts w:ascii="宋体" w:hAnsi="宋体" w:eastAsia="宋体" w:cs="Times New Roman"/>
                <w:kern w:val="0"/>
                <w:sz w:val="24"/>
                <w:szCs w:val="24"/>
              </w:rPr>
            </w:pPr>
            <w:r>
              <w:rPr>
                <w:rFonts w:ascii="宋体" w:hAnsi="宋体" w:eastAsia="宋体" w:cs="Times New Roman"/>
                <w:kern w:val="0"/>
                <w:sz w:val="24"/>
                <w:szCs w:val="24"/>
              </w:rPr>
              <w:t>1）实训能全面涵盖学生所学专业的综合技能要求；</w:t>
            </w:r>
            <w:r>
              <w:rPr>
                <w:rFonts w:ascii="宋体" w:hAnsi="宋体" w:eastAsia="宋体" w:cs="Times New Roman"/>
                <w:kern w:val="0"/>
                <w:sz w:val="24"/>
                <w:szCs w:val="24"/>
              </w:rPr>
              <w:br w:type="textWrapping"/>
            </w:r>
            <w:r>
              <w:rPr>
                <w:rFonts w:ascii="宋体" w:hAnsi="宋体" w:eastAsia="宋体" w:cs="Times New Roman"/>
                <w:kern w:val="0"/>
                <w:sz w:val="24"/>
                <w:szCs w:val="24"/>
              </w:rPr>
              <w:t>2）岗位充足，并能保证学生在实习中轮岗；3)每个实训岗位都应配备足够的实训指导人员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8" w:hRule="atLeast"/>
        </w:trPr>
        <w:tc>
          <w:tcPr>
            <w:tcW w:w="988" w:type="dxa"/>
            <w:vMerge w:val="continue"/>
            <w:vAlign w:val="center"/>
          </w:tcPr>
          <w:p>
            <w:pPr>
              <w:widowControl/>
              <w:jc w:val="center"/>
              <w:rPr>
                <w:rFonts w:ascii="宋体" w:hAnsi="宋体" w:eastAsia="宋体" w:cs="Times New Roman"/>
                <w:kern w:val="0"/>
                <w:sz w:val="24"/>
                <w:szCs w:val="24"/>
              </w:rPr>
            </w:pPr>
          </w:p>
        </w:tc>
        <w:tc>
          <w:tcPr>
            <w:tcW w:w="877" w:type="dxa"/>
            <w:vMerge w:val="continue"/>
            <w:vAlign w:val="center"/>
          </w:tcPr>
          <w:p>
            <w:pPr>
              <w:widowControl/>
              <w:jc w:val="center"/>
              <w:rPr>
                <w:rFonts w:ascii="宋体" w:hAnsi="宋体" w:eastAsia="宋体" w:cs="Times New Roman"/>
                <w:kern w:val="0"/>
                <w:sz w:val="24"/>
                <w:szCs w:val="24"/>
              </w:rPr>
            </w:pPr>
          </w:p>
        </w:tc>
        <w:tc>
          <w:tcPr>
            <w:tcW w:w="1958" w:type="dxa"/>
            <w:shd w:val="clear" w:color="auto" w:fill="auto"/>
            <w:vAlign w:val="center"/>
          </w:tcPr>
          <w:p>
            <w:pPr>
              <w:widowControl/>
              <w:jc w:val="center"/>
              <w:rPr>
                <w:rFonts w:ascii="宋体" w:hAnsi="宋体" w:eastAsia="宋体" w:cs="Times New Roman"/>
                <w:kern w:val="0"/>
                <w:sz w:val="24"/>
                <w:szCs w:val="24"/>
              </w:rPr>
            </w:pPr>
            <w:r>
              <w:rPr>
                <w:rFonts w:ascii="宋体" w:hAnsi="宋体" w:eastAsia="宋体" w:cs="Times New Roman"/>
                <w:kern w:val="0"/>
                <w:sz w:val="24"/>
                <w:szCs w:val="24"/>
              </w:rPr>
              <w:t>实训计划</w:t>
            </w:r>
          </w:p>
        </w:tc>
        <w:tc>
          <w:tcPr>
            <w:tcW w:w="5096" w:type="dxa"/>
            <w:shd w:val="clear" w:color="auto" w:fill="auto"/>
            <w:vAlign w:val="center"/>
          </w:tcPr>
          <w:p>
            <w:pPr>
              <w:widowControl/>
              <w:jc w:val="left"/>
              <w:rPr>
                <w:rFonts w:ascii="宋体" w:hAnsi="宋体" w:eastAsia="宋体" w:cs="Times New Roman"/>
                <w:kern w:val="0"/>
                <w:sz w:val="24"/>
                <w:szCs w:val="24"/>
              </w:rPr>
            </w:pPr>
            <w:r>
              <w:rPr>
                <w:rFonts w:ascii="宋体" w:hAnsi="宋体" w:eastAsia="宋体" w:cs="Times New Roman"/>
                <w:kern w:val="0"/>
                <w:sz w:val="24"/>
                <w:szCs w:val="24"/>
              </w:rPr>
              <w:t>1)拥有科学、合理的实训计划，实训计划符合培养目标的要求；</w:t>
            </w:r>
            <w:r>
              <w:rPr>
                <w:rFonts w:ascii="宋体" w:hAnsi="宋体" w:eastAsia="宋体" w:cs="Times New Roman"/>
                <w:kern w:val="0"/>
                <w:sz w:val="24"/>
                <w:szCs w:val="24"/>
              </w:rPr>
              <w:br w:type="textWrapping"/>
            </w:r>
            <w:r>
              <w:rPr>
                <w:rFonts w:ascii="宋体" w:hAnsi="宋体" w:eastAsia="宋体" w:cs="Times New Roman"/>
                <w:kern w:val="0"/>
                <w:sz w:val="24"/>
                <w:szCs w:val="24"/>
              </w:rPr>
              <w:t>2)实训教学大纲编写完整，大纲内容包括实训目标和要求，实训内容、实训时间；3）实训评估与考核制度、文件完善，相关记录及档案完善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988" w:type="dxa"/>
            <w:vMerge w:val="continue"/>
            <w:vAlign w:val="center"/>
          </w:tcPr>
          <w:p>
            <w:pPr>
              <w:widowControl/>
              <w:jc w:val="center"/>
              <w:rPr>
                <w:rFonts w:ascii="宋体" w:hAnsi="宋体" w:eastAsia="宋体" w:cs="Times New Roman"/>
                <w:kern w:val="0"/>
                <w:sz w:val="24"/>
                <w:szCs w:val="24"/>
              </w:rPr>
            </w:pPr>
          </w:p>
        </w:tc>
        <w:tc>
          <w:tcPr>
            <w:tcW w:w="877" w:type="dxa"/>
            <w:vMerge w:val="continue"/>
            <w:vAlign w:val="center"/>
          </w:tcPr>
          <w:p>
            <w:pPr>
              <w:widowControl/>
              <w:jc w:val="center"/>
              <w:rPr>
                <w:rFonts w:ascii="宋体" w:hAnsi="宋体" w:eastAsia="宋体" w:cs="Times New Roman"/>
                <w:kern w:val="0"/>
                <w:sz w:val="24"/>
                <w:szCs w:val="24"/>
              </w:rPr>
            </w:pPr>
          </w:p>
        </w:tc>
        <w:tc>
          <w:tcPr>
            <w:tcW w:w="1958" w:type="dxa"/>
            <w:shd w:val="clear" w:color="auto" w:fill="auto"/>
            <w:vAlign w:val="center"/>
          </w:tcPr>
          <w:p>
            <w:pPr>
              <w:widowControl/>
              <w:jc w:val="center"/>
              <w:rPr>
                <w:rFonts w:ascii="宋体" w:hAnsi="宋体" w:eastAsia="宋体" w:cs="Times New Roman"/>
                <w:kern w:val="0"/>
                <w:sz w:val="24"/>
                <w:szCs w:val="24"/>
              </w:rPr>
            </w:pPr>
            <w:r>
              <w:rPr>
                <w:rFonts w:ascii="宋体" w:hAnsi="宋体" w:eastAsia="宋体" w:cs="Times New Roman"/>
                <w:kern w:val="0"/>
                <w:sz w:val="24"/>
                <w:szCs w:val="24"/>
              </w:rPr>
              <w:t>实训制度</w:t>
            </w:r>
          </w:p>
        </w:tc>
        <w:tc>
          <w:tcPr>
            <w:tcW w:w="5096" w:type="dxa"/>
            <w:shd w:val="clear" w:color="auto" w:fill="auto"/>
            <w:vAlign w:val="center"/>
          </w:tcPr>
          <w:p>
            <w:pPr>
              <w:widowControl/>
              <w:jc w:val="left"/>
              <w:rPr>
                <w:rFonts w:ascii="宋体" w:hAnsi="宋体" w:eastAsia="宋体" w:cs="Times New Roman"/>
                <w:kern w:val="0"/>
                <w:sz w:val="24"/>
                <w:szCs w:val="24"/>
              </w:rPr>
            </w:pPr>
            <w:r>
              <w:rPr>
                <w:rFonts w:ascii="宋体" w:hAnsi="宋体" w:eastAsia="宋体" w:cs="Times New Roman"/>
                <w:kern w:val="0"/>
                <w:sz w:val="24"/>
                <w:szCs w:val="24"/>
              </w:rPr>
              <w:t>1)有完善有实训制度；2)有明晰的实训岗位描述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988" w:type="dxa"/>
            <w:vMerge w:val="continue"/>
            <w:vAlign w:val="center"/>
          </w:tcPr>
          <w:p>
            <w:pPr>
              <w:widowControl/>
              <w:jc w:val="center"/>
              <w:rPr>
                <w:rFonts w:ascii="宋体" w:hAnsi="宋体" w:eastAsia="宋体" w:cs="Times New Roman"/>
                <w:kern w:val="0"/>
                <w:sz w:val="24"/>
                <w:szCs w:val="24"/>
              </w:rPr>
            </w:pPr>
          </w:p>
        </w:tc>
        <w:tc>
          <w:tcPr>
            <w:tcW w:w="877" w:type="dxa"/>
            <w:vMerge w:val="restart"/>
            <w:shd w:val="clear" w:color="auto" w:fill="auto"/>
            <w:vAlign w:val="center"/>
          </w:tcPr>
          <w:p>
            <w:pPr>
              <w:widowControl/>
              <w:jc w:val="center"/>
              <w:rPr>
                <w:rFonts w:ascii="宋体" w:hAnsi="宋体" w:eastAsia="宋体" w:cs="Times New Roman"/>
                <w:kern w:val="0"/>
                <w:sz w:val="24"/>
                <w:szCs w:val="24"/>
              </w:rPr>
            </w:pPr>
            <w:r>
              <w:rPr>
                <w:rFonts w:ascii="宋体" w:hAnsi="宋体" w:eastAsia="宋体" w:cs="Times New Roman"/>
                <w:kern w:val="0"/>
                <w:sz w:val="24"/>
                <w:szCs w:val="24"/>
              </w:rPr>
              <w:t>学习与生活条件</w:t>
            </w:r>
          </w:p>
        </w:tc>
        <w:tc>
          <w:tcPr>
            <w:tcW w:w="1958" w:type="dxa"/>
            <w:shd w:val="clear" w:color="auto" w:fill="auto"/>
            <w:vAlign w:val="center"/>
          </w:tcPr>
          <w:p>
            <w:pPr>
              <w:widowControl/>
              <w:jc w:val="center"/>
              <w:rPr>
                <w:rFonts w:ascii="宋体" w:hAnsi="宋体" w:eastAsia="宋体" w:cs="Times New Roman"/>
                <w:kern w:val="0"/>
                <w:sz w:val="24"/>
                <w:szCs w:val="24"/>
              </w:rPr>
            </w:pPr>
            <w:r>
              <w:rPr>
                <w:rFonts w:ascii="宋体" w:hAnsi="宋体" w:eastAsia="宋体" w:cs="Times New Roman"/>
                <w:kern w:val="0"/>
                <w:sz w:val="24"/>
                <w:szCs w:val="24"/>
              </w:rPr>
              <w:t>学习资源</w:t>
            </w:r>
          </w:p>
        </w:tc>
        <w:tc>
          <w:tcPr>
            <w:tcW w:w="5096" w:type="dxa"/>
            <w:shd w:val="clear" w:color="auto" w:fill="auto"/>
            <w:vAlign w:val="center"/>
          </w:tcPr>
          <w:p>
            <w:pPr>
              <w:widowControl/>
              <w:jc w:val="left"/>
              <w:rPr>
                <w:rFonts w:ascii="宋体" w:hAnsi="宋体" w:eastAsia="宋体" w:cs="Times New Roman"/>
                <w:kern w:val="0"/>
                <w:sz w:val="24"/>
                <w:szCs w:val="24"/>
              </w:rPr>
            </w:pPr>
            <w:r>
              <w:rPr>
                <w:rFonts w:ascii="宋体" w:hAnsi="宋体" w:eastAsia="宋体" w:cs="Times New Roman"/>
                <w:kern w:val="0"/>
                <w:sz w:val="24"/>
                <w:szCs w:val="24"/>
              </w:rPr>
              <w:t>拥有与培养目标相一致的图书、期刊、数据等学习资源，且学习资源能够满足培养需求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988" w:type="dxa"/>
            <w:vMerge w:val="continue"/>
            <w:vAlign w:val="center"/>
          </w:tcPr>
          <w:p>
            <w:pPr>
              <w:widowControl/>
              <w:jc w:val="center"/>
              <w:rPr>
                <w:rFonts w:ascii="宋体" w:hAnsi="宋体" w:eastAsia="宋体" w:cs="Times New Roman"/>
                <w:kern w:val="0"/>
                <w:sz w:val="24"/>
                <w:szCs w:val="24"/>
              </w:rPr>
            </w:pPr>
          </w:p>
        </w:tc>
        <w:tc>
          <w:tcPr>
            <w:tcW w:w="877" w:type="dxa"/>
            <w:vMerge w:val="continue"/>
            <w:vAlign w:val="center"/>
          </w:tcPr>
          <w:p>
            <w:pPr>
              <w:widowControl/>
              <w:jc w:val="center"/>
              <w:rPr>
                <w:rFonts w:ascii="宋体" w:hAnsi="宋体" w:eastAsia="宋体" w:cs="Times New Roman"/>
                <w:kern w:val="0"/>
                <w:sz w:val="24"/>
                <w:szCs w:val="24"/>
              </w:rPr>
            </w:pPr>
          </w:p>
        </w:tc>
        <w:tc>
          <w:tcPr>
            <w:tcW w:w="1958" w:type="dxa"/>
            <w:shd w:val="clear" w:color="auto" w:fill="auto"/>
            <w:vAlign w:val="center"/>
          </w:tcPr>
          <w:p>
            <w:pPr>
              <w:widowControl/>
              <w:jc w:val="center"/>
              <w:rPr>
                <w:rFonts w:ascii="宋体" w:hAnsi="宋体" w:eastAsia="宋体" w:cs="Times New Roman"/>
                <w:kern w:val="0"/>
                <w:sz w:val="24"/>
                <w:szCs w:val="24"/>
              </w:rPr>
            </w:pPr>
            <w:r>
              <w:rPr>
                <w:rFonts w:ascii="宋体" w:hAnsi="宋体" w:eastAsia="宋体" w:cs="Times New Roman"/>
                <w:kern w:val="0"/>
                <w:sz w:val="24"/>
                <w:szCs w:val="24"/>
              </w:rPr>
              <w:t>奖助体系</w:t>
            </w:r>
          </w:p>
        </w:tc>
        <w:tc>
          <w:tcPr>
            <w:tcW w:w="5096" w:type="dxa"/>
            <w:shd w:val="clear" w:color="auto" w:fill="auto"/>
            <w:vAlign w:val="center"/>
          </w:tcPr>
          <w:p>
            <w:pPr>
              <w:widowControl/>
              <w:jc w:val="left"/>
              <w:rPr>
                <w:rFonts w:ascii="宋体" w:hAnsi="宋体" w:eastAsia="宋体" w:cs="Times New Roman"/>
                <w:kern w:val="0"/>
                <w:sz w:val="24"/>
                <w:szCs w:val="24"/>
              </w:rPr>
            </w:pPr>
            <w:r>
              <w:rPr>
                <w:rFonts w:ascii="宋体" w:hAnsi="宋体" w:eastAsia="宋体" w:cs="Times New Roman"/>
                <w:kern w:val="0"/>
                <w:sz w:val="24"/>
                <w:szCs w:val="24"/>
              </w:rPr>
              <w:t>拥有完善的面向专业学位研究生的奖助贷体系，奖助水平与覆盖面等情况与学术型研究生不存在较大差异。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988" w:type="dxa"/>
            <w:vMerge w:val="continue"/>
            <w:vAlign w:val="center"/>
          </w:tcPr>
          <w:p>
            <w:pPr>
              <w:widowControl/>
              <w:jc w:val="center"/>
              <w:rPr>
                <w:rFonts w:ascii="宋体" w:hAnsi="宋体" w:eastAsia="宋体" w:cs="Times New Roman"/>
                <w:kern w:val="0"/>
                <w:sz w:val="24"/>
                <w:szCs w:val="24"/>
              </w:rPr>
            </w:pPr>
          </w:p>
        </w:tc>
        <w:tc>
          <w:tcPr>
            <w:tcW w:w="877" w:type="dxa"/>
            <w:vMerge w:val="continue"/>
            <w:vAlign w:val="center"/>
          </w:tcPr>
          <w:p>
            <w:pPr>
              <w:widowControl/>
              <w:jc w:val="center"/>
              <w:rPr>
                <w:rFonts w:ascii="宋体" w:hAnsi="宋体" w:eastAsia="宋体" w:cs="Times New Roman"/>
                <w:kern w:val="0"/>
                <w:sz w:val="24"/>
                <w:szCs w:val="24"/>
              </w:rPr>
            </w:pPr>
          </w:p>
        </w:tc>
        <w:tc>
          <w:tcPr>
            <w:tcW w:w="1958" w:type="dxa"/>
            <w:shd w:val="clear" w:color="auto" w:fill="auto"/>
            <w:vAlign w:val="center"/>
          </w:tcPr>
          <w:p>
            <w:pPr>
              <w:widowControl/>
              <w:jc w:val="center"/>
              <w:rPr>
                <w:rFonts w:ascii="宋体" w:hAnsi="宋体" w:eastAsia="宋体" w:cs="Times New Roman"/>
                <w:kern w:val="0"/>
                <w:sz w:val="24"/>
                <w:szCs w:val="24"/>
              </w:rPr>
            </w:pPr>
            <w:r>
              <w:rPr>
                <w:rFonts w:ascii="宋体" w:hAnsi="宋体" w:eastAsia="宋体" w:cs="Times New Roman"/>
                <w:kern w:val="0"/>
                <w:sz w:val="24"/>
                <w:szCs w:val="24"/>
              </w:rPr>
              <w:t>生活条件</w:t>
            </w:r>
          </w:p>
        </w:tc>
        <w:tc>
          <w:tcPr>
            <w:tcW w:w="5096" w:type="dxa"/>
            <w:shd w:val="clear" w:color="auto" w:fill="auto"/>
            <w:vAlign w:val="center"/>
          </w:tcPr>
          <w:p>
            <w:pPr>
              <w:widowControl/>
              <w:jc w:val="left"/>
              <w:rPr>
                <w:rFonts w:ascii="宋体" w:hAnsi="宋体" w:eastAsia="宋体" w:cs="Times New Roman"/>
                <w:kern w:val="0"/>
                <w:sz w:val="24"/>
                <w:szCs w:val="24"/>
              </w:rPr>
            </w:pPr>
            <w:r>
              <w:rPr>
                <w:rFonts w:ascii="宋体" w:hAnsi="宋体" w:eastAsia="宋体" w:cs="Times New Roman"/>
                <w:kern w:val="0"/>
                <w:sz w:val="24"/>
                <w:szCs w:val="24"/>
              </w:rPr>
              <w:t>有与招生规模相匹配的住宿、饮食条件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988" w:type="dxa"/>
            <w:vMerge w:val="restart"/>
            <w:vAlign w:val="center"/>
          </w:tcPr>
          <w:p>
            <w:pPr>
              <w:widowControl/>
              <w:jc w:val="center"/>
              <w:rPr>
                <w:rFonts w:ascii="宋体" w:hAnsi="宋体" w:eastAsia="宋体"/>
                <w:kern w:val="0"/>
                <w:sz w:val="24"/>
                <w:szCs w:val="24"/>
              </w:rPr>
            </w:pPr>
            <w:r>
              <w:rPr>
                <w:rFonts w:ascii="宋体" w:hAnsi="宋体" w:eastAsia="宋体"/>
                <w:kern w:val="0"/>
                <w:sz w:val="24"/>
                <w:szCs w:val="24"/>
              </w:rPr>
              <w:t>培养</w:t>
            </w:r>
          </w:p>
          <w:p>
            <w:pPr>
              <w:widowControl/>
              <w:jc w:val="center"/>
              <w:rPr>
                <w:rFonts w:ascii="宋体" w:hAnsi="宋体" w:eastAsia="宋体" w:cs="Times New Roman"/>
                <w:kern w:val="0"/>
                <w:sz w:val="24"/>
                <w:szCs w:val="24"/>
              </w:rPr>
            </w:pPr>
            <w:r>
              <w:rPr>
                <w:rFonts w:ascii="宋体" w:hAnsi="宋体" w:eastAsia="宋体"/>
                <w:kern w:val="0"/>
                <w:sz w:val="24"/>
                <w:szCs w:val="24"/>
              </w:rPr>
              <w:t>效果</w:t>
            </w:r>
          </w:p>
        </w:tc>
        <w:tc>
          <w:tcPr>
            <w:tcW w:w="877" w:type="dxa"/>
            <w:vMerge w:val="restart"/>
            <w:shd w:val="clear" w:color="auto" w:fill="auto"/>
            <w:vAlign w:val="center"/>
          </w:tcPr>
          <w:p>
            <w:pPr>
              <w:widowControl/>
              <w:jc w:val="center"/>
              <w:rPr>
                <w:rFonts w:ascii="宋体" w:hAnsi="宋体" w:eastAsia="宋体" w:cs="Times New Roman"/>
                <w:kern w:val="0"/>
                <w:sz w:val="24"/>
                <w:szCs w:val="24"/>
              </w:rPr>
            </w:pPr>
            <w:r>
              <w:rPr>
                <w:rFonts w:ascii="宋体" w:hAnsi="宋体" w:eastAsia="宋体" w:cs="Times New Roman"/>
                <w:kern w:val="0"/>
                <w:sz w:val="24"/>
                <w:szCs w:val="24"/>
              </w:rPr>
              <w:t>成果</w:t>
            </w:r>
          </w:p>
          <w:p>
            <w:pPr>
              <w:widowControl/>
              <w:jc w:val="center"/>
              <w:rPr>
                <w:rFonts w:ascii="宋体" w:hAnsi="宋体" w:eastAsia="宋体" w:cs="Times New Roman"/>
                <w:kern w:val="0"/>
                <w:sz w:val="24"/>
                <w:szCs w:val="24"/>
              </w:rPr>
            </w:pPr>
            <w:r>
              <w:rPr>
                <w:rFonts w:ascii="宋体" w:hAnsi="宋体" w:eastAsia="宋体" w:cs="Times New Roman"/>
                <w:kern w:val="0"/>
                <w:sz w:val="24"/>
                <w:szCs w:val="24"/>
              </w:rPr>
              <w:t>产出</w:t>
            </w:r>
          </w:p>
        </w:tc>
        <w:tc>
          <w:tcPr>
            <w:tcW w:w="1958" w:type="dxa"/>
            <w:shd w:val="clear" w:color="auto" w:fill="auto"/>
            <w:vAlign w:val="center"/>
          </w:tcPr>
          <w:p>
            <w:pPr>
              <w:widowControl/>
              <w:jc w:val="center"/>
              <w:rPr>
                <w:rFonts w:ascii="宋体" w:hAnsi="宋体" w:eastAsia="宋体" w:cs="Times New Roman"/>
                <w:kern w:val="0"/>
                <w:sz w:val="24"/>
                <w:szCs w:val="24"/>
              </w:rPr>
            </w:pPr>
            <w:r>
              <w:rPr>
                <w:rFonts w:ascii="宋体" w:hAnsi="宋体" w:eastAsia="宋体" w:cs="Times New Roman"/>
                <w:kern w:val="0"/>
                <w:sz w:val="24"/>
                <w:szCs w:val="24"/>
              </w:rPr>
              <w:t>优秀作品</w:t>
            </w:r>
          </w:p>
        </w:tc>
        <w:tc>
          <w:tcPr>
            <w:tcW w:w="5096" w:type="dxa"/>
            <w:shd w:val="clear" w:color="auto" w:fill="auto"/>
            <w:vAlign w:val="center"/>
          </w:tcPr>
          <w:p>
            <w:pPr>
              <w:widowControl/>
              <w:jc w:val="left"/>
              <w:rPr>
                <w:rFonts w:ascii="宋体" w:hAnsi="宋体" w:eastAsia="宋体" w:cs="Times New Roman"/>
                <w:kern w:val="0"/>
                <w:sz w:val="24"/>
                <w:szCs w:val="24"/>
              </w:rPr>
            </w:pPr>
            <w:r>
              <w:rPr>
                <w:rFonts w:ascii="宋体" w:hAnsi="宋体" w:eastAsia="宋体" w:cs="Times New Roman"/>
                <w:kern w:val="0"/>
                <w:sz w:val="24"/>
                <w:szCs w:val="24"/>
              </w:rPr>
              <w:t>学生作品成果产生较大社会反响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988" w:type="dxa"/>
            <w:vMerge w:val="continue"/>
            <w:vAlign w:val="center"/>
          </w:tcPr>
          <w:p>
            <w:pPr>
              <w:widowControl/>
              <w:jc w:val="center"/>
              <w:rPr>
                <w:rFonts w:ascii="宋体" w:hAnsi="宋体" w:eastAsia="宋体" w:cs="Times New Roman"/>
                <w:kern w:val="0"/>
                <w:sz w:val="24"/>
                <w:szCs w:val="24"/>
              </w:rPr>
            </w:pPr>
          </w:p>
        </w:tc>
        <w:tc>
          <w:tcPr>
            <w:tcW w:w="877" w:type="dxa"/>
            <w:vMerge w:val="continue"/>
            <w:vAlign w:val="center"/>
          </w:tcPr>
          <w:p>
            <w:pPr>
              <w:widowControl/>
              <w:jc w:val="center"/>
              <w:rPr>
                <w:rFonts w:ascii="宋体" w:hAnsi="宋体" w:eastAsia="宋体" w:cs="Times New Roman"/>
                <w:kern w:val="0"/>
                <w:sz w:val="24"/>
                <w:szCs w:val="24"/>
              </w:rPr>
            </w:pPr>
          </w:p>
        </w:tc>
        <w:tc>
          <w:tcPr>
            <w:tcW w:w="1958" w:type="dxa"/>
            <w:shd w:val="clear" w:color="auto" w:fill="auto"/>
            <w:vAlign w:val="center"/>
          </w:tcPr>
          <w:p>
            <w:pPr>
              <w:widowControl/>
              <w:jc w:val="center"/>
              <w:rPr>
                <w:rFonts w:ascii="宋体" w:hAnsi="宋体" w:eastAsia="宋体" w:cs="Times New Roman"/>
                <w:kern w:val="0"/>
                <w:sz w:val="24"/>
                <w:szCs w:val="24"/>
              </w:rPr>
            </w:pPr>
            <w:r>
              <w:rPr>
                <w:rFonts w:ascii="宋体" w:hAnsi="宋体" w:eastAsia="宋体" w:cs="Times New Roman"/>
                <w:kern w:val="0"/>
                <w:sz w:val="24"/>
                <w:szCs w:val="24"/>
              </w:rPr>
              <w:t>成果转化</w:t>
            </w:r>
          </w:p>
        </w:tc>
        <w:tc>
          <w:tcPr>
            <w:tcW w:w="5096" w:type="dxa"/>
            <w:shd w:val="clear" w:color="auto" w:fill="auto"/>
            <w:vAlign w:val="center"/>
          </w:tcPr>
          <w:p>
            <w:pPr>
              <w:widowControl/>
              <w:jc w:val="left"/>
              <w:rPr>
                <w:rFonts w:ascii="宋体" w:hAnsi="宋体" w:eastAsia="宋体" w:cs="Times New Roman"/>
                <w:kern w:val="0"/>
                <w:sz w:val="24"/>
                <w:szCs w:val="24"/>
              </w:rPr>
            </w:pPr>
            <w:r>
              <w:rPr>
                <w:rFonts w:ascii="宋体" w:hAnsi="宋体" w:eastAsia="宋体" w:cs="Times New Roman"/>
                <w:kern w:val="0"/>
                <w:sz w:val="24"/>
                <w:szCs w:val="24"/>
              </w:rPr>
              <w:t>有完善的知识产权运营机制和成果转化机制，有成功的成果转化案例，且取得较大的社会与经济效益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988" w:type="dxa"/>
            <w:vMerge w:val="continue"/>
            <w:vAlign w:val="center"/>
          </w:tcPr>
          <w:p>
            <w:pPr>
              <w:widowControl/>
              <w:jc w:val="center"/>
              <w:rPr>
                <w:rFonts w:ascii="宋体" w:hAnsi="宋体" w:eastAsia="宋体" w:cs="Times New Roman"/>
                <w:kern w:val="0"/>
                <w:sz w:val="24"/>
                <w:szCs w:val="24"/>
              </w:rPr>
            </w:pPr>
          </w:p>
        </w:tc>
        <w:tc>
          <w:tcPr>
            <w:tcW w:w="877" w:type="dxa"/>
            <w:vMerge w:val="restart"/>
            <w:shd w:val="clear" w:color="auto" w:fill="auto"/>
            <w:vAlign w:val="center"/>
          </w:tcPr>
          <w:p>
            <w:pPr>
              <w:widowControl/>
              <w:jc w:val="center"/>
              <w:rPr>
                <w:rFonts w:ascii="宋体" w:hAnsi="宋体" w:eastAsia="宋体" w:cs="Times New Roman"/>
                <w:kern w:val="0"/>
                <w:sz w:val="24"/>
                <w:szCs w:val="24"/>
              </w:rPr>
            </w:pPr>
            <w:r>
              <w:rPr>
                <w:rFonts w:ascii="宋体" w:hAnsi="宋体" w:eastAsia="宋体" w:cs="Times New Roman"/>
                <w:kern w:val="0"/>
                <w:sz w:val="24"/>
                <w:szCs w:val="24"/>
              </w:rPr>
              <w:t>学生</w:t>
            </w:r>
          </w:p>
          <w:p>
            <w:pPr>
              <w:widowControl/>
              <w:jc w:val="center"/>
              <w:rPr>
                <w:rFonts w:ascii="宋体" w:hAnsi="宋体" w:eastAsia="宋体" w:cs="Times New Roman"/>
                <w:kern w:val="0"/>
                <w:sz w:val="24"/>
                <w:szCs w:val="24"/>
              </w:rPr>
            </w:pPr>
            <w:r>
              <w:rPr>
                <w:rFonts w:ascii="宋体" w:hAnsi="宋体" w:eastAsia="宋体" w:cs="Times New Roman"/>
                <w:kern w:val="0"/>
                <w:sz w:val="24"/>
                <w:szCs w:val="24"/>
              </w:rPr>
              <w:t>评价</w:t>
            </w:r>
          </w:p>
        </w:tc>
        <w:tc>
          <w:tcPr>
            <w:tcW w:w="1958" w:type="dxa"/>
            <w:shd w:val="clear" w:color="auto" w:fill="auto"/>
            <w:vAlign w:val="center"/>
          </w:tcPr>
          <w:p>
            <w:pPr>
              <w:widowControl/>
              <w:jc w:val="center"/>
              <w:rPr>
                <w:rFonts w:ascii="宋体" w:hAnsi="宋体" w:eastAsia="宋体" w:cs="Times New Roman"/>
                <w:kern w:val="0"/>
                <w:sz w:val="24"/>
                <w:szCs w:val="24"/>
              </w:rPr>
            </w:pPr>
            <w:r>
              <w:rPr>
                <w:rFonts w:ascii="宋体" w:hAnsi="宋体" w:eastAsia="宋体" w:cs="Times New Roman"/>
                <w:kern w:val="0"/>
                <w:sz w:val="24"/>
                <w:szCs w:val="24"/>
              </w:rPr>
              <w:t>优秀毕业生</w:t>
            </w:r>
          </w:p>
        </w:tc>
        <w:tc>
          <w:tcPr>
            <w:tcW w:w="5096" w:type="dxa"/>
            <w:shd w:val="clear" w:color="auto" w:fill="auto"/>
            <w:vAlign w:val="center"/>
          </w:tcPr>
          <w:p>
            <w:pPr>
              <w:widowControl/>
              <w:jc w:val="left"/>
              <w:rPr>
                <w:rFonts w:ascii="宋体" w:hAnsi="宋体" w:eastAsia="宋体" w:cs="Times New Roman"/>
                <w:kern w:val="0"/>
                <w:sz w:val="24"/>
                <w:szCs w:val="24"/>
              </w:rPr>
            </w:pPr>
            <w:r>
              <w:rPr>
                <w:rFonts w:ascii="宋体" w:hAnsi="宋体" w:eastAsia="宋体" w:cs="Times New Roman"/>
                <w:kern w:val="0"/>
                <w:sz w:val="24"/>
                <w:szCs w:val="24"/>
              </w:rPr>
              <w:t>1)毕业生破格晋升和重点培养交流情况；</w:t>
            </w:r>
            <w:r>
              <w:rPr>
                <w:rFonts w:ascii="宋体" w:hAnsi="宋体" w:eastAsia="宋体" w:cs="Times New Roman"/>
                <w:kern w:val="0"/>
                <w:sz w:val="24"/>
                <w:szCs w:val="24"/>
              </w:rPr>
              <w:br w:type="textWrapping"/>
            </w:r>
            <w:r>
              <w:rPr>
                <w:rFonts w:ascii="宋体" w:hAnsi="宋体" w:eastAsia="宋体" w:cs="Times New Roman"/>
                <w:kern w:val="0"/>
                <w:sz w:val="24"/>
                <w:szCs w:val="24"/>
              </w:rPr>
              <w:t>2)毕业生在行业中取得突出成绩、成就。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trPr>
        <w:tc>
          <w:tcPr>
            <w:tcW w:w="988" w:type="dxa"/>
            <w:vMerge w:val="continue"/>
            <w:vAlign w:val="center"/>
          </w:tcPr>
          <w:p>
            <w:pPr>
              <w:widowControl/>
              <w:jc w:val="center"/>
              <w:rPr>
                <w:rFonts w:ascii="宋体" w:hAnsi="宋体" w:eastAsia="宋体" w:cs="Times New Roman"/>
                <w:kern w:val="0"/>
                <w:sz w:val="24"/>
                <w:szCs w:val="24"/>
              </w:rPr>
            </w:pPr>
          </w:p>
        </w:tc>
        <w:tc>
          <w:tcPr>
            <w:tcW w:w="877" w:type="dxa"/>
            <w:vMerge w:val="continue"/>
            <w:vAlign w:val="center"/>
          </w:tcPr>
          <w:p>
            <w:pPr>
              <w:widowControl/>
              <w:jc w:val="center"/>
              <w:rPr>
                <w:rFonts w:ascii="宋体" w:hAnsi="宋体" w:eastAsia="宋体" w:cs="Times New Roman"/>
                <w:kern w:val="0"/>
                <w:sz w:val="24"/>
                <w:szCs w:val="24"/>
              </w:rPr>
            </w:pPr>
          </w:p>
        </w:tc>
        <w:tc>
          <w:tcPr>
            <w:tcW w:w="1958" w:type="dxa"/>
            <w:shd w:val="clear" w:color="auto" w:fill="auto"/>
            <w:vAlign w:val="center"/>
          </w:tcPr>
          <w:p>
            <w:pPr>
              <w:widowControl/>
              <w:jc w:val="center"/>
              <w:rPr>
                <w:rFonts w:ascii="宋体" w:hAnsi="宋体" w:eastAsia="宋体" w:cs="Times New Roman"/>
                <w:kern w:val="0"/>
                <w:sz w:val="24"/>
                <w:szCs w:val="24"/>
              </w:rPr>
            </w:pPr>
            <w:r>
              <w:rPr>
                <w:rFonts w:ascii="宋体" w:hAnsi="宋体" w:eastAsia="宋体" w:cs="Times New Roman"/>
                <w:kern w:val="0"/>
                <w:sz w:val="24"/>
                <w:szCs w:val="24"/>
              </w:rPr>
              <w:t>用人单位评价</w:t>
            </w:r>
          </w:p>
        </w:tc>
        <w:tc>
          <w:tcPr>
            <w:tcW w:w="5096" w:type="dxa"/>
            <w:shd w:val="clear" w:color="auto" w:fill="auto"/>
            <w:vAlign w:val="center"/>
          </w:tcPr>
          <w:p>
            <w:pPr>
              <w:widowControl/>
              <w:jc w:val="left"/>
              <w:rPr>
                <w:rFonts w:ascii="宋体" w:hAnsi="宋体" w:eastAsia="宋体" w:cs="Times New Roman"/>
                <w:kern w:val="0"/>
                <w:sz w:val="24"/>
                <w:szCs w:val="24"/>
              </w:rPr>
            </w:pPr>
            <w:r>
              <w:rPr>
                <w:rFonts w:ascii="宋体" w:hAnsi="宋体" w:eastAsia="宋体" w:cs="Times New Roman"/>
                <w:kern w:val="0"/>
                <w:sz w:val="24"/>
                <w:szCs w:val="24"/>
              </w:rPr>
              <w:t>毕业生无违反行业操守、职业道德行为，获得用人单位良好评价反馈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trPr>
        <w:tc>
          <w:tcPr>
            <w:tcW w:w="988" w:type="dxa"/>
            <w:vMerge w:val="continue"/>
            <w:vAlign w:val="center"/>
          </w:tcPr>
          <w:p>
            <w:pPr>
              <w:widowControl/>
              <w:jc w:val="center"/>
              <w:rPr>
                <w:rFonts w:ascii="宋体" w:hAnsi="宋体" w:eastAsia="宋体" w:cs="Times New Roman"/>
                <w:kern w:val="0"/>
                <w:sz w:val="24"/>
                <w:szCs w:val="24"/>
              </w:rPr>
            </w:pPr>
          </w:p>
        </w:tc>
        <w:tc>
          <w:tcPr>
            <w:tcW w:w="877" w:type="dxa"/>
            <w:vMerge w:val="continue"/>
            <w:vAlign w:val="center"/>
          </w:tcPr>
          <w:p>
            <w:pPr>
              <w:widowControl/>
              <w:jc w:val="center"/>
              <w:rPr>
                <w:rFonts w:ascii="宋体" w:hAnsi="宋体" w:eastAsia="宋体" w:cs="Times New Roman"/>
                <w:kern w:val="0"/>
                <w:sz w:val="24"/>
                <w:szCs w:val="24"/>
              </w:rPr>
            </w:pPr>
          </w:p>
        </w:tc>
        <w:tc>
          <w:tcPr>
            <w:tcW w:w="1958" w:type="dxa"/>
            <w:shd w:val="clear" w:color="auto" w:fill="auto"/>
            <w:vAlign w:val="center"/>
          </w:tcPr>
          <w:p>
            <w:pPr>
              <w:widowControl/>
              <w:jc w:val="center"/>
              <w:rPr>
                <w:rFonts w:ascii="宋体" w:hAnsi="宋体" w:eastAsia="宋体" w:cs="Times New Roman"/>
                <w:kern w:val="0"/>
                <w:sz w:val="24"/>
                <w:szCs w:val="24"/>
              </w:rPr>
            </w:pPr>
            <w:r>
              <w:rPr>
                <w:rFonts w:ascii="宋体" w:hAnsi="宋体" w:eastAsia="宋体" w:cs="Times New Roman"/>
                <w:kern w:val="0"/>
                <w:sz w:val="24"/>
                <w:szCs w:val="24"/>
              </w:rPr>
              <w:t>学生自评</w:t>
            </w:r>
          </w:p>
        </w:tc>
        <w:tc>
          <w:tcPr>
            <w:tcW w:w="5096" w:type="dxa"/>
            <w:shd w:val="clear" w:color="auto" w:fill="auto"/>
            <w:vAlign w:val="center"/>
          </w:tcPr>
          <w:p>
            <w:pPr>
              <w:widowControl/>
              <w:jc w:val="left"/>
              <w:rPr>
                <w:rFonts w:ascii="宋体" w:hAnsi="宋体" w:eastAsia="宋体" w:cs="Times New Roman"/>
                <w:kern w:val="0"/>
                <w:sz w:val="24"/>
                <w:szCs w:val="24"/>
              </w:rPr>
            </w:pPr>
            <w:r>
              <w:rPr>
                <w:rFonts w:ascii="宋体" w:hAnsi="宋体" w:eastAsia="宋体" w:cs="Times New Roman"/>
                <w:kern w:val="0"/>
                <w:sz w:val="24"/>
                <w:szCs w:val="24"/>
              </w:rPr>
              <w:t>1）建立了学生参与教学评估的制度，相关档案材料是否完善；2）建立了在校生、毕业生对学校培养质量、学风、校风、师风的满意度调查反馈机制，相关档案材料是否完善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trPr>
        <w:tc>
          <w:tcPr>
            <w:tcW w:w="988" w:type="dxa"/>
            <w:vMerge w:val="continue"/>
            <w:vAlign w:val="center"/>
          </w:tcPr>
          <w:p>
            <w:pPr>
              <w:widowControl/>
              <w:jc w:val="center"/>
              <w:rPr>
                <w:rFonts w:ascii="宋体" w:hAnsi="宋体" w:eastAsia="宋体" w:cs="Times New Roman"/>
                <w:kern w:val="0"/>
                <w:sz w:val="24"/>
                <w:szCs w:val="24"/>
              </w:rPr>
            </w:pPr>
          </w:p>
        </w:tc>
        <w:tc>
          <w:tcPr>
            <w:tcW w:w="877" w:type="dxa"/>
            <w:vMerge w:val="restart"/>
            <w:shd w:val="clear" w:color="auto" w:fill="auto"/>
            <w:vAlign w:val="center"/>
          </w:tcPr>
          <w:p>
            <w:pPr>
              <w:widowControl/>
              <w:jc w:val="center"/>
              <w:rPr>
                <w:rFonts w:ascii="宋体" w:hAnsi="宋体" w:eastAsia="宋体" w:cs="Times New Roman"/>
                <w:kern w:val="0"/>
                <w:sz w:val="24"/>
                <w:szCs w:val="24"/>
              </w:rPr>
            </w:pPr>
            <w:r>
              <w:rPr>
                <w:rFonts w:ascii="宋体" w:hAnsi="宋体" w:eastAsia="宋体" w:cs="Times New Roman"/>
                <w:kern w:val="0"/>
                <w:sz w:val="24"/>
                <w:szCs w:val="24"/>
              </w:rPr>
              <w:t>就业</w:t>
            </w:r>
          </w:p>
        </w:tc>
        <w:tc>
          <w:tcPr>
            <w:tcW w:w="1958" w:type="dxa"/>
            <w:shd w:val="clear" w:color="auto" w:fill="auto"/>
            <w:vAlign w:val="center"/>
          </w:tcPr>
          <w:p>
            <w:pPr>
              <w:widowControl/>
              <w:jc w:val="center"/>
              <w:rPr>
                <w:rFonts w:ascii="宋体" w:hAnsi="宋体" w:eastAsia="宋体" w:cs="Times New Roman"/>
                <w:kern w:val="0"/>
                <w:sz w:val="24"/>
                <w:szCs w:val="24"/>
              </w:rPr>
            </w:pPr>
            <w:r>
              <w:rPr>
                <w:rFonts w:ascii="宋体" w:hAnsi="宋体" w:eastAsia="宋体" w:cs="Times New Roman"/>
                <w:kern w:val="0"/>
                <w:sz w:val="24"/>
                <w:szCs w:val="24"/>
              </w:rPr>
              <w:t>就业率</w:t>
            </w:r>
          </w:p>
        </w:tc>
        <w:tc>
          <w:tcPr>
            <w:tcW w:w="5096" w:type="dxa"/>
            <w:shd w:val="clear" w:color="auto" w:fill="auto"/>
            <w:vAlign w:val="center"/>
          </w:tcPr>
          <w:p>
            <w:pPr>
              <w:widowControl/>
              <w:jc w:val="left"/>
              <w:rPr>
                <w:rFonts w:ascii="宋体" w:hAnsi="宋体" w:eastAsia="宋体" w:cs="Times New Roman"/>
                <w:kern w:val="0"/>
                <w:sz w:val="24"/>
                <w:szCs w:val="24"/>
              </w:rPr>
            </w:pPr>
            <w:r>
              <w:rPr>
                <w:rFonts w:ascii="宋体" w:hAnsi="宋体" w:eastAsia="宋体" w:cs="Times New Roman"/>
                <w:kern w:val="0"/>
                <w:sz w:val="24"/>
                <w:szCs w:val="24"/>
              </w:rPr>
              <w:t>毕业生具有较高的就业率，一般高于70%。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988" w:type="dxa"/>
            <w:vMerge w:val="continue"/>
            <w:vAlign w:val="center"/>
          </w:tcPr>
          <w:p>
            <w:pPr>
              <w:widowControl/>
              <w:jc w:val="center"/>
              <w:rPr>
                <w:rFonts w:ascii="宋体" w:hAnsi="宋体" w:eastAsia="宋体" w:cs="Times New Roman"/>
                <w:kern w:val="0"/>
                <w:sz w:val="24"/>
                <w:szCs w:val="24"/>
              </w:rPr>
            </w:pPr>
          </w:p>
        </w:tc>
        <w:tc>
          <w:tcPr>
            <w:tcW w:w="877" w:type="dxa"/>
            <w:vMerge w:val="continue"/>
            <w:vAlign w:val="center"/>
          </w:tcPr>
          <w:p>
            <w:pPr>
              <w:widowControl/>
              <w:jc w:val="center"/>
              <w:rPr>
                <w:rFonts w:ascii="宋体" w:hAnsi="宋体" w:eastAsia="宋体" w:cs="Times New Roman"/>
                <w:kern w:val="0"/>
                <w:sz w:val="24"/>
                <w:szCs w:val="24"/>
              </w:rPr>
            </w:pPr>
          </w:p>
        </w:tc>
        <w:tc>
          <w:tcPr>
            <w:tcW w:w="1958" w:type="dxa"/>
            <w:shd w:val="clear" w:color="auto" w:fill="auto"/>
            <w:vAlign w:val="center"/>
          </w:tcPr>
          <w:p>
            <w:pPr>
              <w:widowControl/>
              <w:jc w:val="center"/>
              <w:rPr>
                <w:rFonts w:ascii="宋体" w:hAnsi="宋体" w:eastAsia="宋体" w:cs="Times New Roman"/>
                <w:kern w:val="0"/>
                <w:sz w:val="24"/>
                <w:szCs w:val="24"/>
              </w:rPr>
            </w:pPr>
            <w:r>
              <w:rPr>
                <w:rFonts w:ascii="宋体" w:hAnsi="宋体" w:eastAsia="宋体" w:cs="Times New Roman"/>
                <w:kern w:val="0"/>
                <w:sz w:val="24"/>
                <w:szCs w:val="24"/>
              </w:rPr>
              <w:t>专业对口</w:t>
            </w:r>
          </w:p>
        </w:tc>
        <w:tc>
          <w:tcPr>
            <w:tcW w:w="5096" w:type="dxa"/>
            <w:shd w:val="clear" w:color="auto" w:fill="auto"/>
            <w:vAlign w:val="center"/>
          </w:tcPr>
          <w:p>
            <w:pPr>
              <w:widowControl/>
              <w:jc w:val="left"/>
              <w:rPr>
                <w:rFonts w:ascii="宋体" w:hAnsi="宋体" w:eastAsia="宋体" w:cs="Times New Roman"/>
                <w:kern w:val="0"/>
                <w:sz w:val="24"/>
                <w:szCs w:val="24"/>
              </w:rPr>
            </w:pPr>
            <w:r>
              <w:rPr>
                <w:rFonts w:ascii="宋体" w:hAnsi="宋体" w:eastAsia="宋体" w:cs="Times New Roman"/>
                <w:kern w:val="0"/>
                <w:sz w:val="24"/>
                <w:szCs w:val="24"/>
              </w:rPr>
              <w:t>大多数毕业生专业对口，毕业生专业</w:t>
            </w:r>
            <w:r>
              <w:rPr>
                <w:rFonts w:hint="eastAsia" w:ascii="宋体" w:hAnsi="宋体" w:eastAsia="宋体" w:cs="Times New Roman"/>
                <w:kern w:val="0"/>
                <w:sz w:val="24"/>
                <w:szCs w:val="24"/>
              </w:rPr>
              <w:t>对口率</w:t>
            </w:r>
            <w:r>
              <w:rPr>
                <w:rFonts w:ascii="宋体" w:hAnsi="宋体" w:eastAsia="宋体" w:cs="Times New Roman"/>
                <w:kern w:val="0"/>
                <w:sz w:val="24"/>
                <w:szCs w:val="24"/>
              </w:rPr>
              <w:t>高于</w:t>
            </w:r>
            <w:r>
              <w:rPr>
                <w:rFonts w:hint="eastAsia" w:ascii="宋体" w:hAnsi="宋体" w:eastAsia="宋体" w:cs="Times New Roman"/>
                <w:kern w:val="0"/>
                <w:sz w:val="24"/>
                <w:szCs w:val="24"/>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988" w:type="dxa"/>
            <w:vMerge w:val="continue"/>
            <w:vAlign w:val="center"/>
          </w:tcPr>
          <w:p>
            <w:pPr>
              <w:widowControl/>
              <w:jc w:val="center"/>
              <w:rPr>
                <w:rFonts w:ascii="宋体" w:hAnsi="宋体" w:eastAsia="宋体" w:cs="Times New Roman"/>
                <w:kern w:val="0"/>
                <w:sz w:val="24"/>
                <w:szCs w:val="24"/>
              </w:rPr>
            </w:pPr>
          </w:p>
        </w:tc>
        <w:tc>
          <w:tcPr>
            <w:tcW w:w="877" w:type="dxa"/>
            <w:vMerge w:val="restart"/>
            <w:shd w:val="clear" w:color="auto" w:fill="auto"/>
            <w:vAlign w:val="center"/>
          </w:tcPr>
          <w:p>
            <w:pPr>
              <w:widowControl/>
              <w:jc w:val="center"/>
              <w:rPr>
                <w:rFonts w:ascii="宋体" w:hAnsi="宋体" w:eastAsia="宋体" w:cs="Times New Roman"/>
                <w:kern w:val="0"/>
                <w:sz w:val="24"/>
                <w:szCs w:val="24"/>
              </w:rPr>
            </w:pPr>
            <w:r>
              <w:rPr>
                <w:rFonts w:ascii="宋体" w:hAnsi="宋体" w:eastAsia="宋体" w:cs="Times New Roman"/>
                <w:kern w:val="0"/>
                <w:sz w:val="24"/>
                <w:szCs w:val="24"/>
              </w:rPr>
              <w:t>获奖</w:t>
            </w:r>
          </w:p>
        </w:tc>
        <w:tc>
          <w:tcPr>
            <w:tcW w:w="1958" w:type="dxa"/>
            <w:shd w:val="clear" w:color="auto" w:fill="auto"/>
            <w:vAlign w:val="center"/>
          </w:tcPr>
          <w:p>
            <w:pPr>
              <w:widowControl/>
              <w:jc w:val="center"/>
              <w:rPr>
                <w:rFonts w:ascii="宋体" w:hAnsi="宋体" w:eastAsia="宋体" w:cs="Times New Roman"/>
                <w:kern w:val="0"/>
                <w:sz w:val="24"/>
                <w:szCs w:val="24"/>
              </w:rPr>
            </w:pPr>
            <w:r>
              <w:rPr>
                <w:rFonts w:ascii="宋体" w:hAnsi="宋体" w:eastAsia="宋体" w:cs="Times New Roman"/>
                <w:kern w:val="0"/>
                <w:sz w:val="24"/>
                <w:szCs w:val="24"/>
              </w:rPr>
              <w:t>教学获奖</w:t>
            </w:r>
          </w:p>
        </w:tc>
        <w:tc>
          <w:tcPr>
            <w:tcW w:w="5096" w:type="dxa"/>
            <w:shd w:val="clear" w:color="auto" w:fill="auto"/>
            <w:vAlign w:val="center"/>
          </w:tcPr>
          <w:p>
            <w:pPr>
              <w:widowControl/>
              <w:jc w:val="left"/>
              <w:rPr>
                <w:rFonts w:ascii="宋体" w:hAnsi="宋体" w:eastAsia="宋体" w:cs="Times New Roman"/>
                <w:kern w:val="0"/>
                <w:sz w:val="24"/>
                <w:szCs w:val="24"/>
              </w:rPr>
            </w:pPr>
            <w:r>
              <w:rPr>
                <w:rFonts w:ascii="宋体" w:hAnsi="宋体" w:eastAsia="宋体" w:cs="Times New Roman"/>
                <w:kern w:val="0"/>
                <w:sz w:val="24"/>
                <w:szCs w:val="24"/>
              </w:rPr>
              <w:t>获国家级、省部级或其他优秀教学成果奖项数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988" w:type="dxa"/>
            <w:vMerge w:val="continue"/>
            <w:vAlign w:val="center"/>
          </w:tcPr>
          <w:p>
            <w:pPr>
              <w:widowControl/>
              <w:jc w:val="center"/>
              <w:rPr>
                <w:rFonts w:ascii="宋体" w:hAnsi="宋体" w:eastAsia="宋体" w:cs="Times New Roman"/>
                <w:kern w:val="0"/>
                <w:sz w:val="24"/>
                <w:szCs w:val="24"/>
              </w:rPr>
            </w:pPr>
          </w:p>
        </w:tc>
        <w:tc>
          <w:tcPr>
            <w:tcW w:w="877" w:type="dxa"/>
            <w:vMerge w:val="continue"/>
            <w:vAlign w:val="center"/>
          </w:tcPr>
          <w:p>
            <w:pPr>
              <w:widowControl/>
              <w:jc w:val="center"/>
              <w:rPr>
                <w:rFonts w:ascii="宋体" w:hAnsi="宋体" w:eastAsia="宋体" w:cs="Times New Roman"/>
                <w:kern w:val="0"/>
                <w:sz w:val="24"/>
                <w:szCs w:val="24"/>
              </w:rPr>
            </w:pPr>
          </w:p>
        </w:tc>
        <w:tc>
          <w:tcPr>
            <w:tcW w:w="1958" w:type="dxa"/>
            <w:shd w:val="clear" w:color="auto" w:fill="auto"/>
            <w:vAlign w:val="center"/>
          </w:tcPr>
          <w:p>
            <w:pPr>
              <w:widowControl/>
              <w:jc w:val="center"/>
              <w:rPr>
                <w:rFonts w:ascii="宋体" w:hAnsi="宋体" w:eastAsia="宋体" w:cs="Times New Roman"/>
                <w:kern w:val="0"/>
                <w:sz w:val="24"/>
                <w:szCs w:val="24"/>
              </w:rPr>
            </w:pPr>
            <w:r>
              <w:rPr>
                <w:rFonts w:ascii="宋体" w:hAnsi="宋体" w:eastAsia="宋体" w:cs="Times New Roman"/>
                <w:kern w:val="0"/>
                <w:sz w:val="24"/>
                <w:szCs w:val="24"/>
              </w:rPr>
              <w:t>学生获奖</w:t>
            </w:r>
          </w:p>
        </w:tc>
        <w:tc>
          <w:tcPr>
            <w:tcW w:w="5096" w:type="dxa"/>
            <w:shd w:val="clear" w:color="auto" w:fill="auto"/>
            <w:vAlign w:val="center"/>
          </w:tcPr>
          <w:p>
            <w:pPr>
              <w:widowControl/>
              <w:jc w:val="left"/>
              <w:rPr>
                <w:rFonts w:ascii="宋体" w:hAnsi="宋体" w:eastAsia="宋体" w:cs="Times New Roman"/>
                <w:kern w:val="0"/>
                <w:sz w:val="24"/>
                <w:szCs w:val="24"/>
              </w:rPr>
            </w:pPr>
            <w:r>
              <w:rPr>
                <w:rFonts w:ascii="宋体" w:hAnsi="宋体" w:eastAsia="宋体" w:cs="Times New Roman"/>
                <w:kern w:val="0"/>
                <w:sz w:val="24"/>
                <w:szCs w:val="24"/>
              </w:rPr>
              <w:t>在校生或毕业生获得国家级、省部级或其他重要奖项</w:t>
            </w:r>
          </w:p>
        </w:tc>
      </w:tr>
    </w:tbl>
    <w:p>
      <w:pPr>
        <w:rPr>
          <w:rFonts w:hint="eastAsia" w:ascii="仿宋" w:hAnsi="仿宋" w:eastAsia="仿宋"/>
          <w:color w:val="222222"/>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600C6F"/>
    <w:rsid w:val="001D41F9"/>
    <w:rsid w:val="1C3C4554"/>
    <w:rsid w:val="2A7A792F"/>
    <w:rsid w:val="6B600C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7"/>
    <w:qFormat/>
    <w:uiPriority w:val="0"/>
    <w:pPr>
      <w:keepNext/>
      <w:keepLines/>
      <w:spacing w:before="340" w:after="330" w:line="576" w:lineRule="auto"/>
      <w:jc w:val="center"/>
      <w:outlineLvl w:val="0"/>
    </w:pPr>
    <w:rPr>
      <w:rFonts w:ascii="Times New Roman" w:hAnsi="Times New Roman" w:eastAsia="仿宋" w:cs="Times New Roman"/>
      <w:b/>
      <w:bCs/>
      <w:kern w:val="44"/>
      <w:sz w:val="36"/>
      <w:szCs w:val="44"/>
    </w:rPr>
  </w:style>
  <w:style w:type="paragraph" w:styleId="3">
    <w:name w:val="heading 4"/>
    <w:basedOn w:val="1"/>
    <w:next w:val="1"/>
    <w:semiHidden/>
    <w:unhideWhenUsed/>
    <w:qFormat/>
    <w:uiPriority w:val="0"/>
    <w:pPr>
      <w:keepNext/>
      <w:keepLines/>
      <w:adjustRightInd w:val="0"/>
      <w:snapToGrid w:val="0"/>
      <w:spacing w:beforeLines="0" w:beforeAutospacing="0" w:afterLines="0" w:afterAutospacing="0" w:line="540" w:lineRule="exact"/>
      <w:ind w:firstLine="560" w:firstLineChars="200"/>
      <w:outlineLvl w:val="3"/>
    </w:pPr>
    <w:rPr>
      <w:rFonts w:ascii="Arial" w:hAnsi="Arial" w:eastAsia="宋体"/>
      <w:b/>
      <w:sz w:val="28"/>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character" w:styleId="6">
    <w:name w:val="Strong"/>
    <w:basedOn w:val="5"/>
    <w:qFormat/>
    <w:uiPriority w:val="22"/>
    <w:rPr>
      <w:b/>
      <w:bCs/>
    </w:rPr>
  </w:style>
  <w:style w:type="character" w:customStyle="1" w:styleId="7">
    <w:name w:val="标题 1 Char"/>
    <w:link w:val="2"/>
    <w:qFormat/>
    <w:locked/>
    <w:uiPriority w:val="0"/>
    <w:rPr>
      <w:rFonts w:ascii="Times New Roman" w:hAnsi="Times New Roman" w:eastAsia="仿宋" w:cs="Times New Roman"/>
      <w:b/>
      <w:bCs/>
      <w:kern w:val="44"/>
      <w:sz w:val="36"/>
      <w:szCs w:val="4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Office_11.1.0.9513_F1E327BC-269C-435d-A152-05C5408002CA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2020-04-01T13:20:00Z</dcterms:created>
  <dc:creator>也也也老师</dc:creator>
  <cp:lastModifiedBy>也也也老师</cp:lastModifiedBy>
  <dcterms:modified xsi:type="dcterms:W3CDTF">2020-04-01T13:25:09Z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