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195" w:type="dxa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9300"/>
        <w:gridCol w:w="2685"/>
        <w:gridCol w:w="175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9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上海政法学院2021年度党建研究立项课题</w:t>
            </w:r>
            <w:bookmarkEnd w:id="0"/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课题编号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课题负责人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SZ2021-01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高校基层党组织意识形态安全风险防范与治理策略研究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警务学院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丁明强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SZ2021-02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中国共产党意识形态话语权的百年探索历程研究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范迎春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SZ2021-03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制度化视域下入党积极分子队伍建设研究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文立月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SZ2021-04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加强党内关怀激励法规制度建设、激励党员在新征程上自觉发挥先锋模范作用研究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刘长秋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SZ2021-05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高校学生党员发展过程中的思想政治教育元素研究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——以学生党建与思想政治教育的融合为视角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学工部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陆琼燕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SZ2021-06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上海红色文化资源融入新时代学生党员马克思主义信仰培育的研究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裘欣璐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SZ2021-07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尊重党员主体地位、激励党员在新征程上自觉发挥先锋模范作用研究——以新修订的《中国共产党党员权利保障条例》为研究对象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法律学院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SZ2021-08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提高高校基层党组织党课质量研究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刑事司法学院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姚善英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SZ2021-09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以筑牢初心为核心提高新时代学生党员发展质量的研究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学工部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伍强瑞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SZ2021-10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加强教师党支部政治把关作用研究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经济法学院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SZ2021-11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上海市市属高校巡察工作现状及优化策略研究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  <w:t xml:space="preserve"> 纪委（监察专员办公室）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李坤</w:t>
            </w:r>
          </w:p>
        </w:tc>
      </w:tr>
    </w:tbl>
    <w:p/>
    <w:p/>
    <w:sectPr>
      <w:pgSz w:w="16838" w:h="11906" w:orient="landscape"/>
      <w:pgMar w:top="1134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C0D8B"/>
    <w:rsid w:val="6CBC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2021-10-11T03:26:00Z</dcterms:created>
  <dc:creator>以梦为马</dc:creator>
  <cp:lastModifiedBy>以梦为马</cp:lastModifiedBy>
  <dcterms:modified xsi:type="dcterms:W3CDTF">2021-10-11T03:27:14Z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BCB290FB6ED4464C9004197619321B1E</vt:lpwstr>
  </property>
</Properties>
</file>