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10FE4">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2026年全国教育科学规划终身教育体系</w:t>
      </w:r>
    </w:p>
    <w:p w14:paraId="170F00A2">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研究专项指南</w:t>
      </w:r>
    </w:p>
    <w:p w14:paraId="6F28BBD8">
      <w:pPr>
        <w:spacing w:line="360" w:lineRule="auto"/>
        <w:rPr>
          <w:rFonts w:ascii="Times New Roman" w:hAnsi="Times New Roman" w:eastAsia="仿宋_GB2312" w:cs="Times New Roman"/>
          <w:sz w:val="32"/>
          <w:szCs w:val="32"/>
        </w:rPr>
      </w:pPr>
    </w:p>
    <w:p w14:paraId="69CDE5B3">
      <w:pPr>
        <w:spacing w:line="360" w:lineRule="auto"/>
        <w:ind w:firstLine="640" w:firstLineChars="200"/>
        <w:rPr>
          <w:rFonts w:hint="eastAsia"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终身教育体系研究专项包括重大、重点和一般项目。</w:t>
      </w:r>
      <w:r>
        <w:rPr>
          <w:rFonts w:hint="eastAsia" w:ascii="Times New Roman" w:hAnsi="Times New Roman" w:eastAsia="仿宋_GB2312" w:cs="Times New Roman"/>
          <w:color w:val="auto"/>
          <w:sz w:val="32"/>
          <w:szCs w:val="32"/>
          <w:highlight w:val="none"/>
          <w:lang w:val="en-US" w:eastAsia="zh-CN"/>
        </w:rPr>
        <w:t>项目申请人</w:t>
      </w:r>
      <w:r>
        <w:rPr>
          <w:rFonts w:hint="eastAsia" w:ascii="Times New Roman" w:hAnsi="Times New Roman" w:eastAsia="仿宋_GB2312" w:cs="Times New Roman"/>
          <w:color w:val="auto"/>
          <w:sz w:val="32"/>
          <w:szCs w:val="32"/>
          <w:highlight w:val="none"/>
        </w:rPr>
        <w:t>必须使用指南中的题目，按照指南意图对研究进行设计。</w:t>
      </w:r>
      <w:r>
        <w:rPr>
          <w:rFonts w:ascii="Times New Roman" w:hAnsi="Times New Roman" w:eastAsia="仿宋_GB2312" w:cs="Times New Roman"/>
          <w:color w:val="auto"/>
          <w:sz w:val="32"/>
          <w:szCs w:val="32"/>
          <w:highlight w:val="none"/>
        </w:rPr>
        <w:t>研究期限为2-3年，不得延期。每个选题原则上只确立1个立项项目。</w:t>
      </w:r>
    </w:p>
    <w:p w14:paraId="28E50D19">
      <w:pPr>
        <w:spacing w:before="156" w:beforeLines="50" w:line="360" w:lineRule="auto"/>
        <w:ind w:firstLine="640" w:firstLineChars="200"/>
        <w:rPr>
          <w:rFonts w:hint="eastAsia" w:ascii="黑体" w:hAnsi="黑体" w:eastAsia="黑体" w:cs="黑体"/>
          <w:sz w:val="32"/>
          <w:szCs w:val="32"/>
        </w:rPr>
      </w:pPr>
      <w:r>
        <w:rPr>
          <w:rFonts w:ascii="黑体" w:hAnsi="黑体" w:eastAsia="黑体" w:cs="黑体"/>
          <w:sz w:val="32"/>
          <w:szCs w:val="32"/>
        </w:rPr>
        <w:t>1.优化终身学习公共服务研究（重大）</w:t>
      </w:r>
    </w:p>
    <w:p w14:paraId="07C6D282">
      <w:pPr>
        <w:spacing w:line="360" w:lineRule="auto"/>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指南意图：</w:t>
      </w:r>
      <w:r>
        <w:rPr>
          <w:rFonts w:ascii="Times New Roman" w:hAnsi="Times New Roman" w:eastAsia="仿宋_GB2312" w:cs="Times New Roman"/>
          <w:sz w:val="32"/>
          <w:szCs w:val="32"/>
        </w:rPr>
        <w:t>（1）研究终身学习公共服务的</w:t>
      </w:r>
      <w:r>
        <w:rPr>
          <w:rFonts w:hint="eastAsia" w:ascii="Times New Roman" w:hAnsi="Times New Roman" w:eastAsia="仿宋_GB2312" w:cs="Times New Roman"/>
          <w:sz w:val="32"/>
          <w:szCs w:val="32"/>
        </w:rPr>
        <w:t>理论建构与体系优化</w:t>
      </w:r>
      <w:r>
        <w:rPr>
          <w:rFonts w:ascii="Times New Roman" w:hAnsi="Times New Roman" w:eastAsia="仿宋_GB2312" w:cs="Times New Roman"/>
          <w:sz w:val="32"/>
          <w:szCs w:val="32"/>
        </w:rPr>
        <w:t>；（2）研究终身学习资源开发质量、共享机制与配置效率的优化；（3）研究基于国家智慧教育平台</w:t>
      </w:r>
      <w:r>
        <w:rPr>
          <w:rFonts w:hint="eastAsia" w:ascii="Times New Roman" w:hAnsi="Times New Roman" w:eastAsia="仿宋_GB2312" w:cs="Times New Roman"/>
          <w:sz w:val="32"/>
          <w:szCs w:val="32"/>
        </w:rPr>
        <w:t>终身学习中心的</w:t>
      </w:r>
      <w:r>
        <w:rPr>
          <w:rFonts w:ascii="Times New Roman" w:hAnsi="Times New Roman" w:eastAsia="仿宋_GB2312" w:cs="Times New Roman"/>
          <w:sz w:val="32"/>
          <w:szCs w:val="32"/>
        </w:rPr>
        <w:t>数字化与人工智能赋能的关键技术；（4）</w:t>
      </w:r>
      <w:r>
        <w:rPr>
          <w:rFonts w:hint="eastAsia" w:ascii="Times New Roman" w:hAnsi="Times New Roman" w:eastAsia="仿宋_GB2312" w:cs="Times New Roman"/>
          <w:sz w:val="32"/>
          <w:szCs w:val="32"/>
        </w:rPr>
        <w:t>基于学习者需求识别与大数据治理，研究</w:t>
      </w:r>
      <w:r>
        <w:rPr>
          <w:rFonts w:ascii="Times New Roman" w:hAnsi="Times New Roman" w:eastAsia="仿宋_GB2312" w:cs="Times New Roman"/>
          <w:sz w:val="32"/>
          <w:szCs w:val="32"/>
        </w:rPr>
        <w:t>面向</w:t>
      </w:r>
      <w:r>
        <w:rPr>
          <w:rFonts w:hint="eastAsia" w:ascii="Times New Roman" w:hAnsi="Times New Roman" w:eastAsia="仿宋_GB2312" w:cs="Times New Roman"/>
          <w:sz w:val="32"/>
          <w:szCs w:val="32"/>
        </w:rPr>
        <w:t>不同类型终身学习者的差异化服务路径</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）研究</w:t>
      </w:r>
      <w:r>
        <w:rPr>
          <w:rFonts w:hint="eastAsia" w:ascii="Times New Roman" w:hAnsi="Times New Roman" w:eastAsia="仿宋_GB2312" w:cs="Times New Roman"/>
          <w:sz w:val="32"/>
          <w:szCs w:val="32"/>
        </w:rPr>
        <w:t>完善国家开放大学体系、</w:t>
      </w:r>
      <w:r>
        <w:rPr>
          <w:rFonts w:ascii="Times New Roman" w:hAnsi="Times New Roman" w:eastAsia="仿宋_GB2312" w:cs="Times New Roman"/>
          <w:sz w:val="32"/>
          <w:szCs w:val="32"/>
        </w:rPr>
        <w:t>促进终身学习公共服务质量提升与</w:t>
      </w:r>
      <w:r>
        <w:rPr>
          <w:rFonts w:hint="eastAsia" w:ascii="Times New Roman" w:hAnsi="Times New Roman" w:eastAsia="仿宋_GB2312" w:cs="Times New Roman"/>
          <w:sz w:val="32"/>
          <w:szCs w:val="32"/>
        </w:rPr>
        <w:t>学习型社会建设</w:t>
      </w:r>
      <w:r>
        <w:rPr>
          <w:rFonts w:ascii="Times New Roman" w:hAnsi="Times New Roman" w:eastAsia="仿宋_GB2312" w:cs="Times New Roman"/>
          <w:sz w:val="32"/>
          <w:szCs w:val="32"/>
        </w:rPr>
        <w:t>的制度安排。</w:t>
      </w:r>
    </w:p>
    <w:p w14:paraId="0C9DF891">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2</w:t>
      </w:r>
      <w:r>
        <w:rPr>
          <w:rFonts w:ascii="黑体" w:hAnsi="黑体" w:eastAsia="黑体" w:cs="黑体"/>
          <w:sz w:val="32"/>
          <w:szCs w:val="32"/>
        </w:rPr>
        <w:t>.终身学习公共服务的质量认证标准和保障体系研究</w:t>
      </w:r>
      <w:r>
        <w:rPr>
          <w:rFonts w:hint="eastAsia" w:ascii="黑体" w:hAnsi="黑体" w:eastAsia="黑体" w:cs="黑体"/>
          <w:sz w:val="32"/>
          <w:szCs w:val="32"/>
        </w:rPr>
        <w:t>（重点）</w:t>
      </w:r>
    </w:p>
    <w:p w14:paraId="2087F847">
      <w:pPr>
        <w:spacing w:line="360" w:lineRule="auto"/>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指南意图：</w:t>
      </w:r>
      <w:r>
        <w:rPr>
          <w:rFonts w:ascii="Times New Roman" w:hAnsi="Times New Roman" w:eastAsia="仿宋_GB2312" w:cs="Times New Roman"/>
          <w:sz w:val="32"/>
          <w:szCs w:val="32"/>
        </w:rPr>
        <w:t>（1）开展国内外终身学习公共服务的质量认证标准的比较研究，提出终身学习公共服务的质量认证标准的内涵、特征、基本框架和主要内容；（2</w:t>
      </w:r>
      <w:bookmarkStart w:id="0" w:name="_GoBack"/>
      <w:bookmarkEnd w:id="0"/>
      <w:r>
        <w:rPr>
          <w:rFonts w:ascii="Times New Roman" w:hAnsi="Times New Roman" w:eastAsia="仿宋_GB2312" w:cs="Times New Roman"/>
          <w:sz w:val="32"/>
          <w:szCs w:val="32"/>
        </w:rPr>
        <w:t>）研究终身学习公共服务的多元质量保障主体的角色定位、权责划分与协同机制；（3）研究终身学习公共服务质量保障体系的关键要素、构建路径和运行机制；（4）研究数字化技术与终身学习公共服务的质量保障的融合范式，探索基于大数据和人工智能支持的质量监测评价应用场景和实践路径。</w:t>
      </w:r>
    </w:p>
    <w:p w14:paraId="6C859DF2">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3.国家终身教育立法的定位、边界与制度架构研究（重点）</w:t>
      </w:r>
    </w:p>
    <w:p w14:paraId="532A4CDB">
      <w:pPr>
        <w:spacing w:line="360" w:lineRule="auto"/>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指南意图：</w:t>
      </w:r>
      <w:r>
        <w:rPr>
          <w:rFonts w:hint="eastAsia" w:ascii="Times New Roman" w:hAnsi="Times New Roman" w:eastAsia="仿宋_GB2312" w:cs="Times New Roman"/>
          <w:sz w:val="32"/>
          <w:szCs w:val="32"/>
        </w:rPr>
        <w:t>（1）梳理国际终身教育立法经验，提炼可资借鉴的本土化制度建构要素；（2）论证终身教育在教育法典中的体系定位，厘清其与职业教育、继续教育、老年教育、社区教育、青少年校外教育等相邻领域的概念边界及法定内涵，并阐明其与基础教育、高等教育等传统教育阶段的关系；（3）评估专门立法与分散入典两种路径，设计终身教育从现行政策到法典化的阶段性策略与过渡方案；（4）界定政府职责与社会参与的边界，构建多元主体权责清晰、激励约束并重的终身教育多元共治体系；（5）研究国家开放大学办学体系的法定职能与经费保障机制，推动学分银行、老年大学建设等实践的制度化。</w:t>
      </w:r>
    </w:p>
    <w:p w14:paraId="2CF36C60">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4</w:t>
      </w:r>
      <w:r>
        <w:rPr>
          <w:rFonts w:ascii="黑体" w:hAnsi="黑体" w:eastAsia="黑体" w:cs="黑体"/>
          <w:sz w:val="32"/>
          <w:szCs w:val="32"/>
        </w:rPr>
        <w:t>.</w:t>
      </w:r>
      <w:r>
        <w:rPr>
          <w:rFonts w:hint="eastAsia" w:ascii="黑体" w:hAnsi="黑体" w:eastAsia="黑体" w:cs="黑体"/>
          <w:sz w:val="32"/>
          <w:szCs w:val="32"/>
        </w:rPr>
        <w:t>银发经济背景下老年教育产教融合研究</w:t>
      </w:r>
      <w:r>
        <w:rPr>
          <w:rFonts w:ascii="黑体" w:hAnsi="黑体" w:eastAsia="黑体" w:cs="黑体"/>
          <w:sz w:val="32"/>
          <w:szCs w:val="32"/>
        </w:rPr>
        <w:t>（</w:t>
      </w:r>
      <w:r>
        <w:rPr>
          <w:rFonts w:hint="eastAsia" w:ascii="黑体" w:hAnsi="黑体" w:eastAsia="黑体" w:cs="黑体"/>
          <w:sz w:val="32"/>
          <w:szCs w:val="32"/>
        </w:rPr>
        <w:t>重点</w:t>
      </w:r>
      <w:r>
        <w:rPr>
          <w:rFonts w:ascii="黑体" w:hAnsi="黑体" w:eastAsia="黑体" w:cs="黑体"/>
          <w:sz w:val="32"/>
          <w:szCs w:val="32"/>
        </w:rPr>
        <w:t>）</w:t>
      </w:r>
    </w:p>
    <w:p w14:paraId="23DC1E47">
      <w:pPr>
        <w:spacing w:line="360" w:lineRule="auto"/>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指南意图：</w:t>
      </w:r>
      <w:r>
        <w:rPr>
          <w:rFonts w:ascii="Times New Roman" w:hAnsi="Times New Roman" w:eastAsia="仿宋_GB2312" w:cs="Times New Roman"/>
          <w:sz w:val="32"/>
          <w:szCs w:val="32"/>
        </w:rPr>
        <w:t>（1）研究银发经济与老年教育相互促进、协同发展的内在逻辑；（2）开展国内外老年教育产教融合现状的文献综述与调查研究；（3）研究银发经济背景下老年教育教学场景与教学内容的创新设计；（4）研究老年</w:t>
      </w:r>
      <w:r>
        <w:rPr>
          <w:rFonts w:ascii="Times New Roman" w:hAnsi="Times New Roman" w:eastAsia="仿宋_GB2312" w:cs="Times New Roman"/>
          <w:sz w:val="32"/>
          <w:szCs w:val="32"/>
          <w:highlight w:val="none"/>
        </w:rPr>
        <w:t>人力资源</w:t>
      </w:r>
      <w:r>
        <w:rPr>
          <w:rFonts w:hint="default" w:ascii="Times New Roman" w:hAnsi="Times New Roman" w:eastAsia="仿宋_GB2312" w:cs="Times New Roman"/>
          <w:sz w:val="32"/>
          <w:szCs w:val="32"/>
          <w:highlight w:val="none"/>
          <w:lang w:val="en-US" w:eastAsia="zh-CN"/>
        </w:rPr>
        <w:t>价值发挥</w:t>
      </w:r>
      <w:r>
        <w:rPr>
          <w:rFonts w:ascii="Times New Roman" w:hAnsi="Times New Roman" w:eastAsia="仿宋_GB2312" w:cs="Times New Roman"/>
          <w:sz w:val="32"/>
          <w:szCs w:val="32"/>
          <w:highlight w:val="none"/>
        </w:rPr>
        <w:t>与</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老有所为</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的有效路径；（5）研究国家老年</w:t>
      </w:r>
      <w:r>
        <w:rPr>
          <w:rFonts w:ascii="Times New Roman" w:hAnsi="Times New Roman" w:eastAsia="仿宋_GB2312" w:cs="Times New Roman"/>
          <w:sz w:val="32"/>
          <w:szCs w:val="32"/>
        </w:rPr>
        <w:t>大学助力</w:t>
      </w:r>
      <w:r>
        <w:rPr>
          <w:rFonts w:hint="eastAsia" w:ascii="Times New Roman" w:hAnsi="Times New Roman" w:eastAsia="仿宋_GB2312" w:cs="Times New Roman"/>
          <w:sz w:val="32"/>
          <w:szCs w:val="32"/>
        </w:rPr>
        <w:t>银发</w:t>
      </w:r>
      <w:r>
        <w:rPr>
          <w:rFonts w:ascii="Times New Roman" w:hAnsi="Times New Roman" w:eastAsia="仿宋_GB2312" w:cs="Times New Roman"/>
          <w:sz w:val="32"/>
          <w:szCs w:val="32"/>
        </w:rPr>
        <w:t>经济发展的推进策略。</w:t>
      </w:r>
    </w:p>
    <w:p w14:paraId="7842D2A1">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5</w:t>
      </w:r>
      <w:r>
        <w:rPr>
          <w:rFonts w:ascii="黑体" w:hAnsi="黑体" w:eastAsia="黑体" w:cs="黑体"/>
          <w:sz w:val="32"/>
          <w:szCs w:val="32"/>
        </w:rPr>
        <w:t>.成人终身学习成果档案与认证转换体系研究（</w:t>
      </w:r>
      <w:r>
        <w:rPr>
          <w:rFonts w:hint="eastAsia" w:ascii="黑体" w:hAnsi="黑体" w:eastAsia="黑体" w:cs="黑体"/>
          <w:sz w:val="32"/>
          <w:szCs w:val="32"/>
        </w:rPr>
        <w:t>一般</w:t>
      </w:r>
      <w:r>
        <w:rPr>
          <w:rFonts w:ascii="黑体" w:hAnsi="黑体" w:eastAsia="黑体" w:cs="黑体"/>
          <w:sz w:val="32"/>
          <w:szCs w:val="32"/>
        </w:rPr>
        <w:t>）</w:t>
      </w:r>
    </w:p>
    <w:p w14:paraId="46F97D53">
      <w:pPr>
        <w:spacing w:line="360" w:lineRule="auto"/>
        <w:ind w:firstLine="640" w:firstLineChars="200"/>
        <w:jc w:val="left"/>
        <w:outlineLvl w:val="0"/>
        <w:rPr>
          <w:rFonts w:ascii="Times New Roman" w:hAnsi="Times New Roman" w:eastAsia="仿宋_GB2312" w:cs="Times New Roman"/>
          <w:sz w:val="32"/>
          <w:szCs w:val="32"/>
        </w:rPr>
      </w:pPr>
      <w:r>
        <w:rPr>
          <w:rFonts w:ascii="Times New Roman" w:hAnsi="Times New Roman" w:eastAsia="楷体_GB2312" w:cs="Times New Roman"/>
          <w:kern w:val="44"/>
          <w:sz w:val="32"/>
          <w:szCs w:val="32"/>
        </w:rPr>
        <w:t>指南意图：</w:t>
      </w:r>
      <w:r>
        <w:rPr>
          <w:rFonts w:ascii="Times New Roman" w:hAnsi="Times New Roman" w:eastAsia="仿宋_GB2312" w:cs="Times New Roman"/>
          <w:sz w:val="32"/>
          <w:szCs w:val="32"/>
        </w:rPr>
        <w:t>（1）研究成人终身学习成果认证方法，丰富终身学习理论；（2）研究成人终身学习成果积累与转换机制；（3）基于区块链技术的终身学习成果管理与服务平台研究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（4）成人终身学习成果档案与认证转换体系应用研究。</w:t>
      </w:r>
    </w:p>
    <w:p w14:paraId="4D02B471">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6</w:t>
      </w:r>
      <w:r>
        <w:rPr>
          <w:rFonts w:ascii="黑体" w:hAnsi="黑体" w:eastAsia="黑体" w:cs="黑体"/>
          <w:sz w:val="32"/>
          <w:szCs w:val="32"/>
        </w:rPr>
        <w:t>.</w:t>
      </w:r>
      <w:r>
        <w:rPr>
          <w:rFonts w:hint="eastAsia" w:ascii="黑体" w:hAnsi="黑体" w:eastAsia="黑体" w:cs="黑体"/>
          <w:sz w:val="32"/>
          <w:szCs w:val="32"/>
        </w:rPr>
        <w:t>智能体赋能的能力导向终身学习模式与评估研究</w:t>
      </w:r>
      <w:r>
        <w:rPr>
          <w:rFonts w:ascii="黑体" w:hAnsi="黑体" w:eastAsia="黑体" w:cs="黑体"/>
          <w:sz w:val="32"/>
          <w:szCs w:val="32"/>
        </w:rPr>
        <w:t>（一般）</w:t>
      </w:r>
    </w:p>
    <w:p w14:paraId="2A12314D">
      <w:pPr>
        <w:spacing w:before="120" w:after="120" w:line="360" w:lineRule="auto"/>
        <w:ind w:firstLine="640" w:firstLineChars="200"/>
        <w:jc w:val="left"/>
        <w:rPr>
          <w:rFonts w:ascii="Times New Roman" w:hAnsi="Times New Roman" w:eastAsia="仿宋_GB2312" w:cs="Times New Roman"/>
          <w:sz w:val="32"/>
          <w:szCs w:val="32"/>
        </w:rPr>
      </w:pPr>
      <w:r>
        <w:rPr>
          <w:rFonts w:ascii="Times New Roman" w:hAnsi="Times New Roman" w:eastAsia="楷体_GB2312" w:cs="Times New Roman"/>
          <w:sz w:val="32"/>
          <w:szCs w:val="32"/>
        </w:rPr>
        <w:t>指南意图：</w:t>
      </w:r>
      <w:r>
        <w:rPr>
          <w:rFonts w:ascii="Times New Roman" w:hAnsi="Times New Roman" w:eastAsia="仿宋_GB2312" w:cs="Times New Roman"/>
          <w:sz w:val="32"/>
          <w:szCs w:val="32"/>
        </w:rPr>
        <w:t>（1）基于能力本位教育理念，研究智能体驱动的能力导向终身学习模式的理论内涵与运行逻辑；（2）聚焦真实问题场景与职业能力发展需求，研究多智能体支撑的终身学习服务实现路径；（3）基于学习者与智能体交互数据，构建面向特定领域的终身学习多维能力评估体系；（4）依托现有终身学习公共服务平台开展调研与应用数据分析。</w:t>
      </w:r>
    </w:p>
    <w:p w14:paraId="091D3CEE">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7.开放教育高质量核心课程建设与智能化教学模式研究（一般）</w:t>
      </w:r>
    </w:p>
    <w:p w14:paraId="75C0F283">
      <w:pPr>
        <w:spacing w:line="360" w:lineRule="auto"/>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指南意图：</w:t>
      </w:r>
      <w:r>
        <w:rPr>
          <w:rFonts w:hint="eastAsia" w:ascii="Times New Roman" w:hAnsi="Times New Roman" w:eastAsia="仿宋_GB2312" w:cs="Times New Roman"/>
          <w:sz w:val="32"/>
          <w:szCs w:val="32"/>
        </w:rPr>
        <w:t>（1）深入分析开放教育学生群体的构成特征、学习行为模式与学习需求；（2）聚焦开放教育学习需求和应用型人才培养需要，研究如何构建以岗位胜任力培养为导向的核心课程体系；（3）探索人工智能、大数据等技术与开放教育大规模教学的深度融合路径，研究设计适应成人学习特点的智能化教学工具与个性化学习支持系统；（4）开展人工智能赋能教学的实践研究，形成可推广的开放教育大规模、智能化教学模式。</w:t>
      </w:r>
    </w:p>
    <w:p w14:paraId="6C694ACF"/>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57CACB-63FD-497F-B70F-38E51418AE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27B2076-E84D-4696-BB2A-8BA53C569A03}"/>
  </w:font>
  <w:font w:name="方正小标宋简体">
    <w:panose1 w:val="03000509000000000000"/>
    <w:charset w:val="86"/>
    <w:family w:val="auto"/>
    <w:pitch w:val="default"/>
    <w:sig w:usb0="00000001" w:usb1="080E0000" w:usb2="00000000" w:usb3="00000000" w:csb0="00040000" w:csb1="00000000"/>
    <w:embedRegular r:id="rId3" w:fontKey="{A59582A8-CAFD-429D-9DE6-17027B75709C}"/>
  </w:font>
  <w:font w:name="仿宋_GB2312">
    <w:panose1 w:val="02010609030101010101"/>
    <w:charset w:val="86"/>
    <w:family w:val="modern"/>
    <w:pitch w:val="default"/>
    <w:sig w:usb0="00000001" w:usb1="080E0000" w:usb2="00000000" w:usb3="00000000" w:csb0="00040000" w:csb1="00000000"/>
    <w:embedRegular r:id="rId4" w:fontKey="{41EC9967-65A6-4EAD-A10E-6A19C047B83A}"/>
  </w:font>
  <w:font w:name="楷体_GB2312">
    <w:panose1 w:val="02010609030101010101"/>
    <w:charset w:val="86"/>
    <w:family w:val="modern"/>
    <w:pitch w:val="default"/>
    <w:sig w:usb0="00000001" w:usb1="080E0000" w:usb2="00000000" w:usb3="00000000" w:csb0="00040000" w:csb1="00000000"/>
    <w:embedRegular r:id="rId5" w:fontKey="{222B7828-32B6-48FD-A812-106E7C6B21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F070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2CAD10">
                          <w:pPr>
                            <w:pStyle w:val="3"/>
                            <w:rPr>
                              <w:rFonts w:hint="default" w:ascii="Times New Roman" w:hAnsi="Times New Roman" w:cs="Times New Roman" w:eastAsiaTheme="minorEastAsia"/>
                              <w:lang w:eastAsia="zh-CN"/>
                            </w:rPr>
                          </w:pPr>
                          <w:r>
                            <w:rPr>
                              <w:rFonts w:hint="default" w:ascii="Times New Roman" w:hAnsi="Times New Roman" w:cs="Times New Roman"/>
                              <w:lang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22CAD10">
                    <w:pPr>
                      <w:pStyle w:val="3"/>
                      <w:rPr>
                        <w:rFonts w:hint="default" w:ascii="Times New Roman" w:hAnsi="Times New Roman" w:cs="Times New Roman" w:eastAsiaTheme="minorEastAsia"/>
                        <w:lang w:eastAsia="zh-CN"/>
                      </w:rPr>
                    </w:pPr>
                    <w:r>
                      <w:rPr>
                        <w:rFonts w:hint="default" w:ascii="Times New Roman" w:hAnsi="Times New Roman" w:cs="Times New Roman"/>
                        <w:lang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D2429F"/>
    <w:rsid w:val="0C6D2071"/>
    <w:rsid w:val="20F25D2F"/>
    <w:rsid w:val="2B6C5576"/>
    <w:rsid w:val="364C41EE"/>
    <w:rsid w:val="3CA9766F"/>
    <w:rsid w:val="3DD2429F"/>
    <w:rsid w:val="418A1D70"/>
    <w:rsid w:val="4FC71015"/>
    <w:rsid w:val="52B73EB4"/>
    <w:rsid w:val="55BC3D75"/>
    <w:rsid w:val="58934138"/>
    <w:rsid w:val="702F49DD"/>
    <w:rsid w:val="78147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1533</Words>
  <Characters>1545</Characters>
  <Lines>0</Lines>
  <Paragraphs>0</Paragraphs>
  <TotalTime>1</TotalTime>
  <ScaleCrop>false</ScaleCrop>
  <LinksUpToDate>false</LinksUpToDate>
  <CharactersWithSpaces>1545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2026-05-25T07:38:00Z</dcterms:created>
  <dc:creator>姜雨婷</dc:creator>
  <cp:lastModifiedBy>王雯</cp:lastModifiedBy>
  <cp:lastPrinted>2026-05-25T08:52:00Z</cp:lastPrinted>
  <dcterms:modified xsi:type="dcterms:W3CDTF">2026-05-29T12:48:05Z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30660916BD97471CA011F33EDB9F76CF_13</vt:lpwstr>
  </property>
  <property fmtid="{D5CDD505-2E9C-101B-9397-08002B2CF9AE}" pid="4" name="KSOTemplateDocerSaveRecord">
    <vt:lpwstr>eyJoZGlkIjoiMzEwNTM5NzYwMDRjMzkwZTVkZjY2ODkwMGIxNGU0OTUiLCJ1c2VySWQiOiIzNTQyMjIwODIifQ==</vt:lpwstr>
  </property>
</Properties>
</file>