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4BCE700">
      <w:pPr>
        <w:adjustRightInd w:val="0"/>
        <w:snapToGrid w:val="0"/>
        <w:spacing w:beforeLines="50" w:after="0" w:line="360" w:lineRule="auto"/>
        <w:jc w:val="center"/>
        <w:rPr>
          <w:rStyle w:val="18"/>
          <w:rFonts w:ascii="黑体" w:hAnsi="黑体" w:eastAsia="黑体"/>
          <w:b w:val="0"/>
          <w:color w:val="000000"/>
          <w:sz w:val="32"/>
          <w:szCs w:val="32"/>
        </w:rPr>
      </w:pPr>
      <w:r>
        <w:rPr>
          <w:rStyle w:val="18"/>
          <w:rFonts w:hint="eastAsia" w:ascii="黑体" w:hAnsi="黑体" w:eastAsia="黑体"/>
          <w:b w:val="0"/>
          <w:color w:val="000000"/>
          <w:sz w:val="32"/>
          <w:szCs w:val="32"/>
        </w:rPr>
        <w:t>“</w:t>
      </w:r>
      <w:r>
        <w:rPr>
          <w:rStyle w:val="18"/>
          <w:rFonts w:ascii="黑体" w:hAnsi="黑体" w:eastAsia="黑体"/>
          <w:b w:val="0"/>
          <w:color w:val="000000"/>
          <w:sz w:val="32"/>
          <w:szCs w:val="32"/>
        </w:rPr>
        <w:t>人工智能与国际法”微专业招生简章</w:t>
      </w:r>
    </w:p>
    <w:p w14:paraId="2A60B72D">
      <w:pPr>
        <w:adjustRightInd w:val="0"/>
        <w:snapToGrid w:val="0"/>
        <w:spacing w:beforeLines="50" w:after="0" w:line="360" w:lineRule="auto"/>
        <w:ind w:firstLine="480" w:firstLineChars="200"/>
        <w:jc w:val="both"/>
        <w:rPr>
          <w:rStyle w:val="18"/>
          <w:rFonts w:ascii="黑体" w:hAnsi="黑体" w:eastAsia="黑体" w:cs="黑体"/>
          <w:b w:val="0"/>
          <w:bCs w:val="0"/>
          <w:color w:val="000000"/>
          <w:sz w:val="24"/>
        </w:rPr>
      </w:pPr>
      <w:r>
        <w:rPr>
          <w:rStyle w:val="18"/>
          <w:rFonts w:ascii="黑体" w:hAnsi="黑体" w:eastAsia="黑体" w:cs="黑体"/>
          <w:b w:val="0"/>
          <w:bCs w:val="0"/>
          <w:color w:val="000000"/>
          <w:sz w:val="24"/>
        </w:rPr>
        <w:t>一、微专业简介</w:t>
      </w:r>
    </w:p>
    <w:p w14:paraId="7394BFDF">
      <w:pPr>
        <w:adjustRightInd w:val="0"/>
        <w:snapToGrid w:val="0"/>
        <w:spacing w:beforeLines="50" w:after="0" w:line="360" w:lineRule="auto"/>
        <w:ind w:firstLine="420"/>
        <w:jc w:val="both"/>
        <w:rPr>
          <w:rFonts w:ascii="宋体" w:hAnsi="宋体" w:eastAsia="宋体"/>
          <w:sz w:val="24"/>
        </w:rPr>
      </w:pPr>
      <w:r>
        <w:rPr>
          <w:rFonts w:hint="eastAsia" w:ascii="宋体" w:hAnsi="宋体" w:eastAsia="宋体"/>
          <w:b/>
          <w:bCs/>
          <w:sz w:val="24"/>
        </w:rPr>
        <w:t>“人工智能与国际法”</w:t>
      </w:r>
      <w:r>
        <w:rPr>
          <w:rFonts w:hint="eastAsia" w:ascii="宋体" w:hAnsi="宋体" w:eastAsia="宋体"/>
          <w:sz w:val="24"/>
        </w:rPr>
        <w:t>微专业立足国际法学科优势，围绕人工智能治理中的国际规则、国际争端、国际合作与涉外合规问题，通过模块化课程设置，将数字贸易法、跨境数据流动的国际法规制、人工智能国际法理论与实践、人工智能与国际航运法等前沿课程有机衔接起来，着力培养兼具国际法理论素养、技术理解能力、规则分析能力与实务适应能力的复合型涉外法治人才，</w:t>
      </w:r>
      <w:r>
        <w:rPr>
          <w:rFonts w:ascii="宋体" w:hAnsi="宋体" w:eastAsia="宋体"/>
          <w:sz w:val="24"/>
        </w:rPr>
        <w:t>以顺应国家人工智能发展战略和涉外法治人才培养需要。</w:t>
      </w:r>
    </w:p>
    <w:p w14:paraId="7EF421B0">
      <w:pPr>
        <w:adjustRightInd w:val="0"/>
        <w:snapToGrid w:val="0"/>
        <w:spacing w:beforeLines="50" w:after="0" w:line="360" w:lineRule="auto"/>
        <w:ind w:firstLine="420"/>
        <w:jc w:val="both"/>
        <w:rPr>
          <w:rFonts w:ascii="宋体" w:hAnsi="宋体" w:eastAsia="宋体"/>
          <w:sz w:val="24"/>
        </w:rPr>
      </w:pPr>
      <w:r>
        <w:rPr>
          <w:rFonts w:ascii="Times New Roman" w:hAnsi="Times New Roman" w:eastAsia="宋体" w:cs="Times New Roman"/>
          <w:sz w:val="24"/>
        </w:rPr>
        <w:t>本微专业的特色主要体现在以下三个方面：</w:t>
      </w:r>
    </w:p>
    <w:p w14:paraId="2645B4F4">
      <w:pPr>
        <w:pStyle w:val="32"/>
        <w:numPr>
          <w:ilvl w:val="0"/>
          <w:numId w:val="1"/>
        </w:numPr>
        <w:tabs>
          <w:tab w:val="left" w:pos="720"/>
        </w:tabs>
        <w:adjustRightInd w:val="0"/>
        <w:snapToGrid w:val="0"/>
        <w:spacing w:beforeLines="50" w:after="0" w:line="360" w:lineRule="auto"/>
        <w:ind w:left="440" w:leftChars="200" w:firstLine="0"/>
        <w:contextualSpacing w:val="0"/>
        <w:jc w:val="both"/>
        <w:rPr>
          <w:rFonts w:ascii="Times New Roman" w:hAnsi="Times New Roman" w:eastAsia="宋体" w:cs="Times New Roman"/>
          <w:sz w:val="24"/>
        </w:rPr>
      </w:pPr>
      <w:r>
        <w:rPr>
          <w:rFonts w:ascii="Times New Roman" w:hAnsi="Times New Roman" w:eastAsia="宋体" w:cs="Times New Roman"/>
          <w:b/>
          <w:bCs/>
          <w:sz w:val="24"/>
        </w:rPr>
        <w:t>国际法主线：</w:t>
      </w:r>
      <w:r>
        <w:rPr>
          <w:rFonts w:ascii="Times New Roman" w:hAnsi="Times New Roman" w:eastAsia="宋体" w:cs="Times New Roman"/>
          <w:sz w:val="24"/>
        </w:rPr>
        <w:t>聚焦国际规则、国际争端、国际治理和涉外合规问题，区别于一般侧重国内治理的人工智能法学。</w:t>
      </w:r>
    </w:p>
    <w:p w14:paraId="78D03AA0">
      <w:pPr>
        <w:pStyle w:val="32"/>
        <w:numPr>
          <w:ilvl w:val="0"/>
          <w:numId w:val="1"/>
        </w:numPr>
        <w:tabs>
          <w:tab w:val="left" w:pos="720"/>
        </w:tabs>
        <w:adjustRightInd w:val="0"/>
        <w:snapToGrid w:val="0"/>
        <w:spacing w:beforeLines="50" w:after="0" w:line="360" w:lineRule="auto"/>
        <w:ind w:left="440" w:leftChars="200" w:firstLine="0"/>
        <w:contextualSpacing w:val="0"/>
        <w:jc w:val="both"/>
        <w:rPr>
          <w:rFonts w:ascii="Times New Roman" w:hAnsi="Times New Roman" w:eastAsia="宋体" w:cs="Times New Roman"/>
          <w:sz w:val="24"/>
        </w:rPr>
      </w:pPr>
      <w:r>
        <w:rPr>
          <w:rFonts w:ascii="Times New Roman" w:hAnsi="Times New Roman" w:eastAsia="宋体" w:cs="Times New Roman"/>
          <w:b/>
          <w:bCs/>
          <w:sz w:val="24"/>
        </w:rPr>
        <w:t>实务应用特色：</w:t>
      </w:r>
      <w:r>
        <w:rPr>
          <w:rFonts w:ascii="Times New Roman" w:hAnsi="Times New Roman" w:eastAsia="宋体" w:cs="Times New Roman"/>
          <w:sz w:val="24"/>
        </w:rPr>
        <w:t>坚持问题导向和能力导向，注重案例研习、规则解读、英文法律文本阅读和法律写作训练</w:t>
      </w:r>
      <w:r>
        <w:rPr>
          <w:rFonts w:hint="eastAsia" w:ascii="Times New Roman" w:hAnsi="Times New Roman" w:eastAsia="宋体" w:cs="Times New Roman"/>
          <w:sz w:val="24"/>
        </w:rPr>
        <w:t>，</w:t>
      </w:r>
      <w:r>
        <w:rPr>
          <w:rFonts w:ascii="Times New Roman" w:hAnsi="Times New Roman" w:eastAsia="宋体" w:cs="Times New Roman"/>
          <w:sz w:val="24"/>
        </w:rPr>
        <w:t>使学生</w:t>
      </w:r>
      <w:r>
        <w:rPr>
          <w:rFonts w:ascii="宋体" w:hAnsi="宋体" w:eastAsia="宋体"/>
          <w:sz w:val="24"/>
        </w:rPr>
        <w:t>形成</w:t>
      </w:r>
      <w:r>
        <w:rPr>
          <w:rFonts w:ascii="Times New Roman" w:hAnsi="Times New Roman" w:eastAsia="宋体" w:cs="Times New Roman"/>
          <w:sz w:val="24"/>
        </w:rPr>
        <w:t>服务高水平对外开放和参与国际规则竞争的能力 。</w:t>
      </w:r>
    </w:p>
    <w:p w14:paraId="54CBE070">
      <w:pPr>
        <w:pStyle w:val="32"/>
        <w:numPr>
          <w:ilvl w:val="0"/>
          <w:numId w:val="1"/>
        </w:numPr>
        <w:tabs>
          <w:tab w:val="left" w:pos="720"/>
        </w:tabs>
        <w:adjustRightInd w:val="0"/>
        <w:snapToGrid w:val="0"/>
        <w:spacing w:beforeLines="50" w:after="0" w:line="360" w:lineRule="auto"/>
        <w:ind w:left="440" w:leftChars="200" w:firstLine="0"/>
        <w:contextualSpacing w:val="0"/>
        <w:jc w:val="both"/>
        <w:rPr>
          <w:rFonts w:ascii="Times New Roman" w:hAnsi="Times New Roman" w:eastAsia="宋体" w:cs="Times New Roman"/>
          <w:sz w:val="24"/>
        </w:rPr>
      </w:pPr>
      <w:r>
        <w:rPr>
          <w:rFonts w:ascii="Times New Roman" w:hAnsi="Times New Roman" w:eastAsia="宋体" w:cs="Times New Roman"/>
          <w:b/>
          <w:bCs/>
          <w:sz w:val="24"/>
        </w:rPr>
        <w:t>交叉融合导向：</w:t>
      </w:r>
      <w:r>
        <w:rPr>
          <w:rFonts w:ascii="Times New Roman" w:hAnsi="Times New Roman" w:eastAsia="宋体" w:cs="Times New Roman"/>
          <w:sz w:val="24"/>
        </w:rPr>
        <w:t>以国际法为主干，将法学与数字技术、国际经贸、数据治理和海事法等场景有机贯通。</w:t>
      </w:r>
    </w:p>
    <w:p w14:paraId="0F00F985">
      <w:pPr>
        <w:adjustRightInd w:val="0"/>
        <w:snapToGrid w:val="0"/>
        <w:spacing w:beforeLines="50" w:after="0" w:line="360" w:lineRule="auto"/>
        <w:ind w:firstLine="482" w:firstLineChars="200"/>
        <w:jc w:val="both"/>
        <w:rPr>
          <w:rStyle w:val="18"/>
          <w:rFonts w:ascii="黑体" w:hAnsi="黑体" w:eastAsia="黑体" w:cs="黑体"/>
          <w:color w:val="000000"/>
          <w:sz w:val="24"/>
        </w:rPr>
      </w:pPr>
      <w:r>
        <w:rPr>
          <w:rStyle w:val="18"/>
          <w:rFonts w:ascii="黑体" w:hAnsi="黑体" w:eastAsia="黑体" w:cs="黑体"/>
          <w:color w:val="000000"/>
          <w:sz w:val="24"/>
        </w:rPr>
        <w:t>二、培养目标</w:t>
      </w:r>
    </w:p>
    <w:p w14:paraId="3B22A2E8">
      <w:pPr>
        <w:adjustRightInd w:val="0"/>
        <w:snapToGrid w:val="0"/>
        <w:spacing w:beforeLines="50" w:after="0" w:line="360" w:lineRule="auto"/>
        <w:ind w:firstLine="420"/>
        <w:jc w:val="both"/>
        <w:rPr>
          <w:rFonts w:ascii="宋体" w:hAnsi="宋体" w:eastAsia="宋体"/>
          <w:sz w:val="24"/>
        </w:rPr>
      </w:pPr>
      <w:r>
        <w:rPr>
          <w:rFonts w:ascii="宋体" w:hAnsi="宋体" w:eastAsia="宋体"/>
          <w:sz w:val="24"/>
        </w:rPr>
        <w:t>本微专业面向国家人工智能发展战略、涉外法治建设需求和国际规则重塑现实，培养具有国际视野、家国情怀、法治思维和交叉融合能力的复合型涉外法治人才。具体而言，本专业旨在：</w:t>
      </w:r>
    </w:p>
    <w:p w14:paraId="0CEB6936">
      <w:pPr>
        <w:numPr>
          <w:ilvl w:val="0"/>
          <w:numId w:val="2"/>
        </w:numPr>
        <w:adjustRightInd w:val="0"/>
        <w:snapToGrid w:val="0"/>
        <w:spacing w:beforeLines="50" w:after="0" w:line="360" w:lineRule="auto"/>
        <w:jc w:val="both"/>
        <w:rPr>
          <w:rFonts w:ascii="Times New Roman" w:hAnsi="Times New Roman" w:eastAsia="宋体" w:cs="Times New Roman"/>
          <w:sz w:val="24"/>
        </w:rPr>
      </w:pPr>
      <w:r>
        <w:rPr>
          <w:rFonts w:ascii="Times New Roman" w:hAnsi="Times New Roman" w:eastAsia="宋体" w:cs="Times New Roman"/>
          <w:sz w:val="24"/>
        </w:rPr>
        <w:t>系统掌握基础知识：系统掌握人工智能与国际法交叉领域的基本知识框架，理解人工智能对国际贸易、跨境数据流动及国际航运治理等领域带来的规则变革和制度挑战 。</w:t>
      </w:r>
    </w:p>
    <w:p w14:paraId="6206A7B5">
      <w:pPr>
        <w:numPr>
          <w:ilvl w:val="0"/>
          <w:numId w:val="2"/>
        </w:numPr>
        <w:adjustRightInd w:val="0"/>
        <w:snapToGrid w:val="0"/>
        <w:spacing w:beforeLines="50" w:after="0" w:line="360" w:lineRule="auto"/>
        <w:jc w:val="both"/>
        <w:rPr>
          <w:rFonts w:ascii="Times New Roman" w:hAnsi="Times New Roman" w:eastAsia="宋体" w:cs="Times New Roman"/>
          <w:sz w:val="24"/>
        </w:rPr>
      </w:pPr>
      <w:r>
        <w:rPr>
          <w:rFonts w:ascii="Times New Roman" w:hAnsi="Times New Roman" w:eastAsia="宋体" w:cs="Times New Roman"/>
          <w:sz w:val="24"/>
        </w:rPr>
        <w:t>培养规则分析能力：具备运用国际法、海商法等相关规则分析人工智能治理问题的能力，能够识别和解释新兴技术背景下的国际法律关系、权利义务结构与责任分配机制。</w:t>
      </w:r>
    </w:p>
    <w:p w14:paraId="105DDC9D">
      <w:pPr>
        <w:numPr>
          <w:ilvl w:val="0"/>
          <w:numId w:val="2"/>
        </w:numPr>
        <w:adjustRightInd w:val="0"/>
        <w:snapToGrid w:val="0"/>
        <w:spacing w:beforeLines="50" w:after="0" w:line="360" w:lineRule="auto"/>
        <w:jc w:val="both"/>
        <w:rPr>
          <w:rFonts w:ascii="Times New Roman" w:hAnsi="Times New Roman" w:eastAsia="宋体" w:cs="Times New Roman"/>
          <w:sz w:val="24"/>
        </w:rPr>
      </w:pPr>
      <w:r>
        <w:rPr>
          <w:rFonts w:ascii="Times New Roman" w:hAnsi="Times New Roman" w:eastAsia="宋体" w:cs="Times New Roman"/>
          <w:sz w:val="24"/>
        </w:rPr>
        <w:t>提升跨学科理解力：具备一定的技术理解能力和跨学科分析能力，能够在法学基本理论基础上，初步把握人工智能、数据治理和数字贸易等相关议题的运行逻辑与制度背景。</w:t>
      </w:r>
    </w:p>
    <w:p w14:paraId="7CDA2007">
      <w:pPr>
        <w:numPr>
          <w:ilvl w:val="0"/>
          <w:numId w:val="2"/>
        </w:numPr>
        <w:adjustRightInd w:val="0"/>
        <w:snapToGrid w:val="0"/>
        <w:spacing w:beforeLines="50" w:after="0" w:line="360" w:lineRule="auto"/>
        <w:jc w:val="both"/>
        <w:rPr>
          <w:rFonts w:ascii="Times New Roman" w:hAnsi="Times New Roman" w:eastAsia="宋体" w:cs="Times New Roman"/>
          <w:sz w:val="24"/>
        </w:rPr>
      </w:pPr>
      <w:r>
        <w:rPr>
          <w:rFonts w:ascii="Times New Roman" w:hAnsi="Times New Roman" w:eastAsia="宋体" w:cs="Times New Roman"/>
          <w:sz w:val="24"/>
        </w:rPr>
        <w:t>强化涉外实务能力：具备较强的涉外法律实务能力，能够阅读和分析英文法律材料，开展案例研究、政策分析和规范评注，初步形成处理复杂涉外法律问题的能力。</w:t>
      </w:r>
    </w:p>
    <w:p w14:paraId="43217877">
      <w:pPr>
        <w:adjustRightInd w:val="0"/>
        <w:snapToGrid w:val="0"/>
        <w:spacing w:beforeLines="50" w:after="0" w:line="360" w:lineRule="auto"/>
        <w:ind w:firstLine="420"/>
        <w:jc w:val="both"/>
        <w:rPr>
          <w:rFonts w:ascii="宋体" w:hAnsi="宋体" w:eastAsia="宋体"/>
          <w:sz w:val="24"/>
        </w:rPr>
      </w:pPr>
      <w:r>
        <w:rPr>
          <w:rFonts w:ascii="宋体" w:hAnsi="宋体" w:eastAsia="宋体"/>
          <w:sz w:val="24"/>
        </w:rPr>
        <w:t>综上所述，“</w:t>
      </w:r>
      <w:r>
        <w:rPr>
          <w:rFonts w:hint="eastAsia" w:ascii="宋体" w:hAnsi="宋体" w:eastAsia="宋体"/>
          <w:sz w:val="24"/>
        </w:rPr>
        <w:t>人工智能与国际法</w:t>
      </w:r>
      <w:r>
        <w:rPr>
          <w:rFonts w:ascii="宋体" w:hAnsi="宋体" w:eastAsia="宋体"/>
          <w:sz w:val="24"/>
        </w:rPr>
        <w:t>”微专业不仅为学生提供了丰富的学术资源和</w:t>
      </w:r>
      <w:r>
        <w:rPr>
          <w:rFonts w:hint="eastAsia" w:ascii="宋体" w:hAnsi="宋体" w:eastAsia="宋体"/>
          <w:sz w:val="24"/>
        </w:rPr>
        <w:t>实务经验</w:t>
      </w:r>
      <w:r>
        <w:rPr>
          <w:rFonts w:ascii="宋体" w:hAnsi="宋体" w:eastAsia="宋体"/>
          <w:sz w:val="24"/>
        </w:rPr>
        <w:t>，更着眼于其未来职业生涯的发展，力求培养出能够紧跟法律科技潮流、推动法治社会建设的优秀人才。</w:t>
      </w:r>
    </w:p>
    <w:p w14:paraId="24805092">
      <w:pPr>
        <w:adjustRightInd w:val="0"/>
        <w:snapToGrid w:val="0"/>
        <w:spacing w:beforeLines="50" w:after="0" w:line="360" w:lineRule="auto"/>
        <w:ind w:firstLine="480" w:firstLineChars="200"/>
        <w:jc w:val="both"/>
        <w:rPr>
          <w:rStyle w:val="18"/>
          <w:rFonts w:ascii="黑体" w:hAnsi="黑体" w:eastAsia="黑体" w:cs="黑体"/>
          <w:color w:val="000000"/>
          <w:sz w:val="24"/>
        </w:rPr>
      </w:pPr>
      <w:r>
        <w:rPr>
          <w:rStyle w:val="18"/>
          <w:rFonts w:ascii="黑体" w:hAnsi="黑体" w:eastAsia="黑体" w:cs="黑体"/>
          <w:b w:val="0"/>
          <w:bCs w:val="0"/>
          <w:color w:val="000000"/>
          <w:sz w:val="24"/>
        </w:rPr>
        <w:t>三、招生对象、报名条件及招生规模</w:t>
      </w:r>
    </w:p>
    <w:p w14:paraId="06C82B6C">
      <w:pPr>
        <w:adjustRightInd w:val="0"/>
        <w:snapToGrid w:val="0"/>
        <w:spacing w:beforeLines="50" w:after="0" w:line="360" w:lineRule="auto"/>
        <w:ind w:firstLine="482" w:firstLineChars="200"/>
        <w:jc w:val="both"/>
        <w:rPr>
          <w:rFonts w:ascii="宋体" w:hAnsi="宋体" w:eastAsia="宋体"/>
          <w:b/>
          <w:color w:val="4D4D4D"/>
          <w:sz w:val="24"/>
        </w:rPr>
      </w:pPr>
      <w:r>
        <w:rPr>
          <w:rFonts w:ascii="宋体" w:hAnsi="宋体" w:eastAsia="宋体"/>
          <w:b/>
          <w:color w:val="4D4D4D"/>
          <w:sz w:val="24"/>
        </w:rPr>
        <w:t>（一）招生对象</w:t>
      </w:r>
    </w:p>
    <w:p w14:paraId="4257B12D">
      <w:pPr>
        <w:adjustRightInd w:val="0"/>
        <w:snapToGrid w:val="0"/>
        <w:spacing w:beforeLines="50" w:after="0" w:line="360" w:lineRule="auto"/>
        <w:ind w:firstLine="420"/>
        <w:jc w:val="both"/>
        <w:rPr>
          <w:rFonts w:ascii="宋体" w:hAnsi="宋体" w:eastAsia="宋体"/>
          <w:color w:val="4D4D4D"/>
          <w:sz w:val="24"/>
        </w:rPr>
      </w:pPr>
      <w:r>
        <w:rPr>
          <w:rFonts w:ascii="宋体" w:hAnsi="宋体" w:eastAsia="宋体"/>
          <w:color w:val="4D4D4D"/>
          <w:sz w:val="24"/>
        </w:rPr>
        <w:t>本微专业主要面向</w:t>
      </w:r>
      <w:r>
        <w:rPr>
          <w:rFonts w:hint="eastAsia" w:ascii="宋体" w:hAnsi="宋体" w:eastAsia="宋体"/>
          <w:color w:val="4D4D4D"/>
          <w:sz w:val="24"/>
        </w:rPr>
        <w:t>上海政法学</w:t>
      </w:r>
      <w:r>
        <w:rPr>
          <w:rFonts w:ascii="宋体" w:hAnsi="宋体" w:eastAsia="宋体"/>
          <w:color w:val="4D4D4D"/>
          <w:sz w:val="24"/>
        </w:rPr>
        <w:t>院</w:t>
      </w:r>
      <w:r>
        <w:rPr>
          <w:rFonts w:hint="eastAsia" w:ascii="宋体" w:hAnsi="宋体" w:eastAsia="宋体"/>
          <w:color w:val="4D4D4D"/>
          <w:sz w:val="24"/>
        </w:rPr>
        <w:t>2023级、</w:t>
      </w:r>
      <w:r>
        <w:rPr>
          <w:rFonts w:ascii="宋体" w:hAnsi="宋体" w:eastAsia="宋体"/>
          <w:color w:val="4D4D4D"/>
          <w:sz w:val="24"/>
        </w:rPr>
        <w:t>2024级和2025</w:t>
      </w:r>
      <w:r>
        <w:rPr>
          <w:rFonts w:hint="eastAsia" w:ascii="宋体" w:hAnsi="宋体" w:eastAsia="宋体"/>
          <w:color w:val="4D4D4D"/>
          <w:sz w:val="24"/>
        </w:rPr>
        <w:t>级</w:t>
      </w:r>
      <w:r>
        <w:rPr>
          <w:rFonts w:ascii="宋体" w:hAnsi="宋体" w:eastAsia="宋体"/>
          <w:color w:val="4D4D4D"/>
          <w:sz w:val="24"/>
        </w:rPr>
        <w:t>全日制本科生招生，原则上以二年级及以上学生为主。</w:t>
      </w:r>
    </w:p>
    <w:p w14:paraId="32352669">
      <w:pPr>
        <w:adjustRightInd w:val="0"/>
        <w:snapToGrid w:val="0"/>
        <w:spacing w:beforeLines="50" w:after="0" w:line="360" w:lineRule="auto"/>
        <w:ind w:firstLine="482" w:firstLineChars="200"/>
        <w:jc w:val="both"/>
        <w:rPr>
          <w:rFonts w:ascii="宋体" w:hAnsi="宋体" w:eastAsia="宋体"/>
          <w:b/>
          <w:color w:val="4D4D4D"/>
          <w:sz w:val="24"/>
        </w:rPr>
      </w:pPr>
      <w:r>
        <w:rPr>
          <w:rFonts w:ascii="宋体" w:hAnsi="宋体" w:eastAsia="宋体"/>
          <w:b/>
          <w:color w:val="4D4D4D"/>
          <w:sz w:val="24"/>
        </w:rPr>
        <w:t>（二）报名条件</w:t>
      </w:r>
    </w:p>
    <w:p w14:paraId="15B6CDEA">
      <w:pPr>
        <w:numPr>
          <w:ilvl w:val="0"/>
          <w:numId w:val="3"/>
        </w:numPr>
        <w:tabs>
          <w:tab w:val="clear" w:pos="720"/>
        </w:tabs>
        <w:spacing w:after="0" w:line="360" w:lineRule="auto"/>
        <w:ind w:left="0" w:firstLine="482" w:firstLineChars="200"/>
        <w:jc w:val="both"/>
        <w:rPr>
          <w:rFonts w:ascii="宋体" w:hAnsi="宋体" w:eastAsia="宋体"/>
          <w:b/>
          <w:color w:val="4D4D4D"/>
          <w:sz w:val="24"/>
        </w:rPr>
      </w:pPr>
      <w:r>
        <w:rPr>
          <w:rFonts w:ascii="宋体" w:hAnsi="宋体" w:eastAsia="宋体"/>
          <w:b/>
          <w:color w:val="4D4D4D"/>
          <w:sz w:val="24"/>
        </w:rPr>
        <w:t>招生条件</w:t>
      </w:r>
    </w:p>
    <w:p w14:paraId="1B9B1716">
      <w:pPr>
        <w:pStyle w:val="32"/>
        <w:adjustRightInd w:val="0"/>
        <w:snapToGrid w:val="0"/>
        <w:spacing w:beforeLines="50" w:after="0" w:line="360" w:lineRule="auto"/>
        <w:ind w:left="0" w:firstLine="480" w:firstLineChars="200"/>
        <w:contextualSpacing w:val="0"/>
        <w:jc w:val="both"/>
        <w:rPr>
          <w:rFonts w:ascii="宋体" w:hAnsi="宋体" w:eastAsia="宋体"/>
          <w:sz w:val="24"/>
        </w:rPr>
      </w:pPr>
      <w:r>
        <w:rPr>
          <w:rFonts w:hint="eastAsia" w:ascii="宋体" w:hAnsi="宋体" w:eastAsia="宋体"/>
          <w:sz w:val="24"/>
        </w:rPr>
        <w:t>（1）</w:t>
      </w:r>
      <w:r>
        <w:rPr>
          <w:rFonts w:ascii="宋体" w:hAnsi="宋体" w:eastAsia="宋体"/>
          <w:sz w:val="24"/>
        </w:rPr>
        <w:t>优先面向法学类专业学生开放，鼓励对人工智能治理、国际规则、数字贸易、跨境数据合规等问题具有浓厚兴趣的学生报名学习。</w:t>
      </w:r>
    </w:p>
    <w:p w14:paraId="298C9D9E">
      <w:pPr>
        <w:pStyle w:val="32"/>
        <w:adjustRightInd w:val="0"/>
        <w:snapToGrid w:val="0"/>
        <w:spacing w:beforeLines="50" w:after="0" w:line="360" w:lineRule="auto"/>
        <w:ind w:left="0" w:firstLine="480" w:firstLineChars="200"/>
        <w:contextualSpacing w:val="0"/>
        <w:jc w:val="both"/>
        <w:rPr>
          <w:rFonts w:ascii="宋体" w:hAnsi="宋体" w:eastAsia="宋体"/>
          <w:sz w:val="24"/>
        </w:rPr>
      </w:pPr>
      <w:r>
        <w:rPr>
          <w:rFonts w:hint="eastAsia" w:ascii="宋体" w:hAnsi="宋体" w:eastAsia="宋体"/>
          <w:sz w:val="24"/>
        </w:rPr>
        <w:t>（2）对于非法学专业学生，如具备一定的法学基础、外语能力和学习兴趣，也可申请修读。</w:t>
      </w:r>
    </w:p>
    <w:p w14:paraId="13EE6246">
      <w:pPr>
        <w:pStyle w:val="32"/>
        <w:adjustRightInd w:val="0"/>
        <w:snapToGrid w:val="0"/>
        <w:spacing w:beforeLines="50" w:after="0" w:line="360" w:lineRule="auto"/>
        <w:ind w:left="0" w:firstLine="480" w:firstLineChars="200"/>
        <w:contextualSpacing w:val="0"/>
        <w:jc w:val="both"/>
        <w:rPr>
          <w:rFonts w:ascii="宋体" w:hAnsi="宋体" w:eastAsia="宋体"/>
          <w:sz w:val="24"/>
        </w:rPr>
      </w:pPr>
      <w:r>
        <w:rPr>
          <w:rFonts w:hint="eastAsia" w:ascii="宋体" w:hAnsi="宋体" w:eastAsia="宋体"/>
          <w:sz w:val="24"/>
        </w:rPr>
        <w:t>（3）具备较好的中英文文献阅读能力、规范理解能力和案例分析能力，能够完成专题研讨、课程论文、案例报告等学习任务。</w:t>
      </w:r>
    </w:p>
    <w:p w14:paraId="2E98532A">
      <w:pPr>
        <w:pStyle w:val="32"/>
        <w:adjustRightInd w:val="0"/>
        <w:snapToGrid w:val="0"/>
        <w:spacing w:beforeLines="50" w:after="0" w:line="360" w:lineRule="auto"/>
        <w:ind w:left="0" w:firstLine="480" w:firstLineChars="200"/>
        <w:contextualSpacing w:val="0"/>
        <w:jc w:val="both"/>
        <w:rPr>
          <w:rFonts w:ascii="宋体" w:hAnsi="宋体" w:eastAsia="宋体"/>
          <w:sz w:val="24"/>
        </w:rPr>
      </w:pPr>
      <w:r>
        <w:rPr>
          <w:rFonts w:hint="eastAsia" w:ascii="宋体" w:hAnsi="宋体" w:eastAsia="宋体"/>
          <w:sz w:val="24"/>
        </w:rPr>
        <w:t>（4）</w:t>
      </w:r>
      <w:r>
        <w:rPr>
          <w:rFonts w:ascii="宋体" w:hAnsi="宋体" w:eastAsia="宋体"/>
          <w:sz w:val="24"/>
        </w:rPr>
        <w:t>能够独立思考，具有较强的学习能力和团队合作精神。</w:t>
      </w:r>
    </w:p>
    <w:p w14:paraId="7017D27C">
      <w:pPr>
        <w:numPr>
          <w:ilvl w:val="0"/>
          <w:numId w:val="3"/>
        </w:numPr>
        <w:tabs>
          <w:tab w:val="clear" w:pos="720"/>
        </w:tabs>
        <w:spacing w:after="0" w:line="360" w:lineRule="auto"/>
        <w:ind w:left="0" w:firstLine="482" w:firstLineChars="200"/>
        <w:jc w:val="both"/>
        <w:rPr>
          <w:rFonts w:ascii="宋体" w:hAnsi="宋体" w:eastAsia="宋体"/>
          <w:b/>
          <w:color w:val="4D4D4D"/>
          <w:sz w:val="24"/>
        </w:rPr>
      </w:pPr>
      <w:r>
        <w:rPr>
          <w:rFonts w:ascii="宋体" w:hAnsi="宋体" w:eastAsia="宋体"/>
          <w:b/>
          <w:color w:val="4D4D4D"/>
          <w:sz w:val="24"/>
        </w:rPr>
        <w:t>前置课程</w:t>
      </w:r>
    </w:p>
    <w:p w14:paraId="4F9144D9">
      <w:pPr>
        <w:adjustRightInd w:val="0"/>
        <w:snapToGrid w:val="0"/>
        <w:spacing w:beforeLines="50" w:after="0" w:line="360" w:lineRule="auto"/>
        <w:ind w:firstLine="420"/>
        <w:jc w:val="both"/>
        <w:rPr>
          <w:rFonts w:ascii="宋体" w:hAnsi="宋体" w:eastAsia="宋体"/>
          <w:sz w:val="24"/>
        </w:rPr>
      </w:pPr>
      <w:r>
        <w:rPr>
          <w:rFonts w:hint="eastAsia" w:ascii="宋体" w:hAnsi="宋体" w:eastAsia="宋体"/>
          <w:sz w:val="24"/>
        </w:rPr>
        <w:t>为了确保学生能够顺利学习本微专业的核心内容，</w:t>
      </w:r>
      <w:r>
        <w:rPr>
          <w:rFonts w:ascii="宋体" w:hAnsi="宋体" w:eastAsia="宋体"/>
          <w:sz w:val="24"/>
        </w:rPr>
        <w:t>修读学生原则上应具备法学基础</w:t>
      </w:r>
      <w:r>
        <w:rPr>
          <w:rFonts w:hint="eastAsia" w:ascii="宋体" w:hAnsi="宋体" w:eastAsia="宋体"/>
          <w:sz w:val="24"/>
        </w:rPr>
        <w:t>。建议学生在报名前完成与以下内容相关的前置课程中</w:t>
      </w:r>
      <w:r>
        <w:rPr>
          <w:rFonts w:ascii="Times New Roman" w:hAnsi="Times New Roman" w:eastAsia="宋体" w:cs="Times New Roman"/>
          <w:sz w:val="24"/>
        </w:rPr>
        <w:t>1-2</w:t>
      </w:r>
      <w:r>
        <w:rPr>
          <w:rFonts w:hint="eastAsia" w:ascii="宋体" w:hAnsi="宋体" w:eastAsia="宋体"/>
          <w:sz w:val="24"/>
        </w:rPr>
        <w:t>门的学习：</w:t>
      </w:r>
    </w:p>
    <w:p w14:paraId="02991A82">
      <w:pPr>
        <w:adjustRightInd w:val="0"/>
        <w:snapToGrid w:val="0"/>
        <w:spacing w:beforeLines="50" w:after="0" w:line="360" w:lineRule="auto"/>
        <w:ind w:firstLine="420"/>
        <w:jc w:val="both"/>
        <w:rPr>
          <w:rFonts w:ascii="宋体" w:hAnsi="宋体" w:eastAsia="宋体"/>
          <w:sz w:val="24"/>
        </w:rPr>
      </w:pPr>
      <w:r>
        <w:rPr>
          <w:rFonts w:hint="eastAsia" w:ascii="宋体" w:hAnsi="宋体" w:eastAsia="宋体"/>
          <w:sz w:val="24"/>
        </w:rPr>
        <w:t>（1）法律基础知识：包括但不限于民法、刑法、商法等基本法律概念和原则。</w:t>
      </w:r>
    </w:p>
    <w:p w14:paraId="4BF8F461">
      <w:pPr>
        <w:adjustRightInd w:val="0"/>
        <w:snapToGrid w:val="0"/>
        <w:spacing w:beforeLines="50" w:after="0" w:line="360" w:lineRule="auto"/>
        <w:ind w:firstLine="420"/>
        <w:jc w:val="both"/>
        <w:rPr>
          <w:rFonts w:ascii="宋体" w:hAnsi="宋体" w:eastAsia="宋体"/>
          <w:sz w:val="24"/>
        </w:rPr>
      </w:pPr>
      <w:r>
        <w:rPr>
          <w:rFonts w:hint="eastAsia" w:ascii="宋体" w:hAnsi="宋体" w:eastAsia="宋体"/>
          <w:sz w:val="24"/>
        </w:rPr>
        <w:t>（2）人工智能概论：了解机器学习、深度学习、自然语言处理的基本概念和应用。</w:t>
      </w:r>
    </w:p>
    <w:p w14:paraId="3791CBE2">
      <w:pPr>
        <w:adjustRightInd w:val="0"/>
        <w:snapToGrid w:val="0"/>
        <w:spacing w:beforeLines="50" w:after="0" w:line="360" w:lineRule="auto"/>
        <w:ind w:firstLine="482" w:firstLineChars="200"/>
        <w:jc w:val="both"/>
        <w:rPr>
          <w:rFonts w:ascii="宋体" w:hAnsi="宋体" w:eastAsia="宋体"/>
          <w:b/>
          <w:color w:val="4D4D4D"/>
          <w:sz w:val="24"/>
        </w:rPr>
      </w:pPr>
      <w:r>
        <w:rPr>
          <w:rFonts w:ascii="宋体" w:hAnsi="宋体" w:eastAsia="宋体"/>
          <w:b/>
          <w:color w:val="4D4D4D"/>
          <w:sz w:val="24"/>
        </w:rPr>
        <w:t xml:space="preserve">（三）招生规模 </w:t>
      </w:r>
    </w:p>
    <w:p w14:paraId="2AB3BE11">
      <w:pPr>
        <w:adjustRightInd w:val="0"/>
        <w:snapToGrid w:val="0"/>
        <w:spacing w:beforeLines="50" w:after="0" w:line="360" w:lineRule="auto"/>
        <w:ind w:firstLine="480" w:firstLineChars="200"/>
        <w:jc w:val="both"/>
        <w:rPr>
          <w:rFonts w:ascii="宋体" w:hAnsi="宋体" w:eastAsia="宋体"/>
          <w:color w:val="4D4D4D"/>
          <w:sz w:val="24"/>
        </w:rPr>
      </w:pPr>
      <w:r>
        <w:rPr>
          <w:rFonts w:ascii="宋体" w:hAnsi="宋体" w:eastAsia="宋体"/>
          <w:sz w:val="24"/>
        </w:rPr>
        <w:t>本微专业计划面向全校公开招收20名学生。招生实行自愿报名。</w:t>
      </w:r>
      <w:r>
        <w:rPr>
          <w:rFonts w:hint="eastAsia" w:ascii="宋体" w:hAnsi="宋体" w:eastAsia="宋体"/>
          <w:color w:val="4D4D4D"/>
          <w:sz w:val="24"/>
        </w:rPr>
        <w:t>若招生人数低于15人，原则上不予开班教学。若报名人数超过限额，</w:t>
      </w:r>
      <w:r>
        <w:rPr>
          <w:rFonts w:ascii="宋体" w:hAnsi="宋体" w:eastAsia="宋体"/>
          <w:sz w:val="24"/>
        </w:rPr>
        <w:t>学院可根据报名情况，结合学生既往学习成绩、课程基础和综合表现进行选拔</w:t>
      </w:r>
      <w:r>
        <w:rPr>
          <w:rFonts w:hint="eastAsia" w:ascii="宋体" w:hAnsi="宋体" w:eastAsia="宋体"/>
          <w:sz w:val="24"/>
        </w:rPr>
        <w:t>，</w:t>
      </w:r>
      <w:r>
        <w:rPr>
          <w:rFonts w:hint="eastAsia" w:ascii="宋体" w:hAnsi="宋体" w:eastAsia="宋体"/>
          <w:color w:val="4D4D4D"/>
          <w:sz w:val="24"/>
        </w:rPr>
        <w:t>择优录取</w:t>
      </w:r>
      <w:r>
        <w:rPr>
          <w:rFonts w:ascii="宋体" w:hAnsi="宋体" w:eastAsia="宋体"/>
          <w:sz w:val="24"/>
        </w:rPr>
        <w:t>。</w:t>
      </w:r>
    </w:p>
    <w:p w14:paraId="5766AFF5">
      <w:pPr>
        <w:adjustRightInd w:val="0"/>
        <w:snapToGrid w:val="0"/>
        <w:spacing w:beforeLines="50" w:after="0" w:line="360" w:lineRule="auto"/>
        <w:ind w:left="562"/>
        <w:jc w:val="both"/>
        <w:rPr>
          <w:rStyle w:val="18"/>
          <w:rFonts w:ascii="黑体" w:hAnsi="黑体" w:eastAsia="黑体" w:cs="黑体"/>
          <w:color w:val="000000"/>
          <w:sz w:val="24"/>
        </w:rPr>
      </w:pPr>
      <w:r>
        <w:rPr>
          <w:rStyle w:val="18"/>
          <w:rFonts w:ascii="黑体" w:hAnsi="黑体" w:eastAsia="黑体" w:cs="黑体"/>
          <w:color w:val="000000"/>
          <w:sz w:val="24"/>
        </w:rPr>
        <w:t>四、课程设置</w:t>
      </w:r>
    </w:p>
    <w:p w14:paraId="16B30CB6">
      <w:pPr>
        <w:adjustRightInd w:val="0"/>
        <w:snapToGrid w:val="0"/>
        <w:spacing w:beforeLines="50" w:after="0" w:line="360" w:lineRule="auto"/>
        <w:jc w:val="center"/>
        <w:rPr>
          <w:rFonts w:ascii="黑体" w:eastAsia="黑体"/>
          <w:bCs/>
          <w:sz w:val="24"/>
          <w:szCs w:val="22"/>
        </w:rPr>
      </w:pPr>
      <w:r>
        <w:rPr>
          <w:rFonts w:ascii="黑体" w:eastAsia="黑体"/>
          <w:bCs/>
          <w:sz w:val="24"/>
          <w:szCs w:val="22"/>
        </w:rPr>
        <w:t>“人工智能与国际法”微专业课程设置及教学进程计划表</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98"/>
        <w:gridCol w:w="3554"/>
        <w:gridCol w:w="846"/>
        <w:gridCol w:w="993"/>
        <w:gridCol w:w="2016"/>
      </w:tblGrid>
      <w:tr w14:paraId="44A31F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31D83ED6">
            <w:pPr>
              <w:widowControl/>
              <w:adjustRightInd w:val="0"/>
              <w:snapToGrid w:val="0"/>
              <w:spacing w:beforeLines="50" w:after="0" w:line="360" w:lineRule="auto"/>
              <w:jc w:val="both"/>
              <w:rPr>
                <w:rFonts w:ascii="仿宋_GB2312" w:eastAsia="仿宋_GB2312"/>
                <w:b/>
                <w:bCs/>
                <w:kern w:val="0"/>
                <w:sz w:val="24"/>
              </w:rPr>
            </w:pPr>
            <w:r>
              <w:rPr>
                <w:rFonts w:ascii="仿宋_GB2312" w:eastAsia="仿宋_GB2312"/>
                <w:b/>
                <w:bCs/>
                <w:kern w:val="0"/>
                <w:sz w:val="24"/>
              </w:rPr>
              <w:t>序号</w:t>
            </w:r>
          </w:p>
        </w:tc>
        <w:tc>
          <w:tcPr>
            <w:tcW w:w="3554" w:type="dxa"/>
          </w:tcPr>
          <w:p w14:paraId="006FDB2F">
            <w:pPr>
              <w:widowControl/>
              <w:adjustRightInd w:val="0"/>
              <w:snapToGrid w:val="0"/>
              <w:spacing w:beforeLines="50" w:after="0" w:line="360" w:lineRule="auto"/>
              <w:jc w:val="both"/>
              <w:rPr>
                <w:rFonts w:ascii="仿宋_GB2312" w:eastAsia="仿宋_GB2312"/>
                <w:b/>
                <w:bCs/>
                <w:kern w:val="0"/>
                <w:sz w:val="24"/>
              </w:rPr>
            </w:pPr>
            <w:r>
              <w:rPr>
                <w:rFonts w:ascii="仿宋_GB2312" w:eastAsia="仿宋_GB2312"/>
                <w:b/>
                <w:bCs/>
                <w:kern w:val="0"/>
                <w:sz w:val="24"/>
              </w:rPr>
              <w:t>课程名称</w:t>
            </w:r>
          </w:p>
        </w:tc>
        <w:tc>
          <w:tcPr>
            <w:tcW w:w="846" w:type="dxa"/>
          </w:tcPr>
          <w:p w14:paraId="3EA387FA">
            <w:pPr>
              <w:widowControl/>
              <w:adjustRightInd w:val="0"/>
              <w:snapToGrid w:val="0"/>
              <w:spacing w:beforeLines="50" w:after="0" w:line="360" w:lineRule="auto"/>
              <w:jc w:val="both"/>
              <w:rPr>
                <w:rFonts w:ascii="仿宋_GB2312" w:eastAsia="仿宋_GB2312"/>
                <w:b/>
                <w:bCs/>
                <w:kern w:val="0"/>
                <w:sz w:val="24"/>
              </w:rPr>
            </w:pPr>
            <w:r>
              <w:rPr>
                <w:rFonts w:ascii="仿宋_GB2312" w:eastAsia="仿宋_GB2312"/>
                <w:b/>
                <w:bCs/>
                <w:kern w:val="0"/>
                <w:sz w:val="24"/>
              </w:rPr>
              <w:t>学分</w:t>
            </w:r>
          </w:p>
        </w:tc>
        <w:tc>
          <w:tcPr>
            <w:tcW w:w="993" w:type="dxa"/>
          </w:tcPr>
          <w:p w14:paraId="0C16D7E6">
            <w:pPr>
              <w:widowControl/>
              <w:adjustRightInd w:val="0"/>
              <w:snapToGrid w:val="0"/>
              <w:spacing w:beforeLines="50" w:after="0" w:line="360" w:lineRule="auto"/>
              <w:jc w:val="both"/>
              <w:rPr>
                <w:rFonts w:ascii="仿宋_GB2312" w:eastAsia="仿宋_GB2312"/>
                <w:b/>
                <w:bCs/>
                <w:kern w:val="0"/>
                <w:sz w:val="24"/>
              </w:rPr>
            </w:pPr>
            <w:r>
              <w:rPr>
                <w:rFonts w:ascii="仿宋_GB2312" w:eastAsia="仿宋_GB2312"/>
                <w:b/>
                <w:bCs/>
                <w:kern w:val="0"/>
                <w:sz w:val="24"/>
              </w:rPr>
              <w:t>总学时</w:t>
            </w:r>
          </w:p>
        </w:tc>
        <w:tc>
          <w:tcPr>
            <w:tcW w:w="2016" w:type="dxa"/>
          </w:tcPr>
          <w:p w14:paraId="3119BB5F">
            <w:pPr>
              <w:widowControl/>
              <w:adjustRightInd w:val="0"/>
              <w:snapToGrid w:val="0"/>
              <w:spacing w:beforeLines="50" w:after="0" w:line="360" w:lineRule="auto"/>
              <w:jc w:val="both"/>
              <w:rPr>
                <w:rFonts w:ascii="仿宋_GB2312" w:eastAsia="仿宋_GB2312"/>
                <w:b/>
                <w:bCs/>
                <w:kern w:val="0"/>
                <w:sz w:val="24"/>
              </w:rPr>
            </w:pPr>
            <w:r>
              <w:rPr>
                <w:rFonts w:ascii="仿宋_GB2312" w:eastAsia="仿宋_GB2312"/>
                <w:b/>
                <w:bCs/>
                <w:kern w:val="0"/>
                <w:sz w:val="24"/>
              </w:rPr>
              <w:t>开课学期</w:t>
            </w:r>
          </w:p>
        </w:tc>
      </w:tr>
      <w:tr w14:paraId="711650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7B8D0270">
            <w:pPr>
              <w:adjustRightInd w:val="0"/>
              <w:snapToGrid w:val="0"/>
              <w:spacing w:beforeLines="50" w:after="0" w:line="360" w:lineRule="auto"/>
              <w:jc w:val="center"/>
              <w:rPr>
                <w:rFonts w:ascii="Times New Roman" w:hAnsi="Times New Roman" w:eastAsia="宋体" w:cs="Times New Roman"/>
                <w:color w:val="4D4D4D"/>
                <w:sz w:val="24"/>
              </w:rPr>
            </w:pPr>
            <w:r>
              <w:rPr>
                <w:rFonts w:ascii="Times New Roman" w:hAnsi="Times New Roman" w:eastAsia="宋体" w:cs="Times New Roman"/>
                <w:color w:val="4D4D4D"/>
                <w:sz w:val="24"/>
              </w:rPr>
              <w:t>1</w:t>
            </w:r>
          </w:p>
        </w:tc>
        <w:tc>
          <w:tcPr>
            <w:tcW w:w="3554" w:type="dxa"/>
          </w:tcPr>
          <w:p w14:paraId="33E205CB">
            <w:pPr>
              <w:adjustRightInd w:val="0"/>
              <w:snapToGrid w:val="0"/>
              <w:spacing w:beforeLines="50" w:after="0" w:line="360" w:lineRule="auto"/>
              <w:jc w:val="center"/>
              <w:rPr>
                <w:rFonts w:ascii="Times New Roman" w:hAnsi="Times New Roman" w:eastAsia="宋体" w:cs="Times New Roman"/>
                <w:color w:val="4D4D4D"/>
                <w:sz w:val="24"/>
              </w:rPr>
            </w:pPr>
            <w:r>
              <w:rPr>
                <w:rFonts w:ascii="Times New Roman" w:hAnsi="Times New Roman" w:eastAsia="宋体" w:cs="Times New Roman"/>
                <w:color w:val="4D4D4D"/>
                <w:sz w:val="24"/>
              </w:rPr>
              <w:t>数字贸易法</w:t>
            </w:r>
          </w:p>
        </w:tc>
        <w:tc>
          <w:tcPr>
            <w:tcW w:w="846" w:type="dxa"/>
          </w:tcPr>
          <w:p w14:paraId="53218B5D">
            <w:pPr>
              <w:adjustRightInd w:val="0"/>
              <w:snapToGrid w:val="0"/>
              <w:spacing w:beforeLines="50" w:after="0" w:line="360" w:lineRule="auto"/>
              <w:jc w:val="center"/>
              <w:rPr>
                <w:rFonts w:ascii="Times New Roman" w:hAnsi="Times New Roman" w:eastAsia="宋体" w:cs="Times New Roman"/>
                <w:color w:val="4D4D4D"/>
                <w:sz w:val="24"/>
              </w:rPr>
            </w:pPr>
            <w:r>
              <w:rPr>
                <w:rFonts w:ascii="Times New Roman" w:hAnsi="Times New Roman" w:eastAsia="宋体" w:cs="Times New Roman"/>
                <w:color w:val="4D4D4D"/>
                <w:sz w:val="24"/>
              </w:rPr>
              <w:t>2</w:t>
            </w:r>
          </w:p>
        </w:tc>
        <w:tc>
          <w:tcPr>
            <w:tcW w:w="993" w:type="dxa"/>
          </w:tcPr>
          <w:p w14:paraId="77881F4D">
            <w:pPr>
              <w:adjustRightInd w:val="0"/>
              <w:snapToGrid w:val="0"/>
              <w:spacing w:beforeLines="50" w:after="0" w:line="360" w:lineRule="auto"/>
              <w:jc w:val="center"/>
              <w:rPr>
                <w:rFonts w:ascii="Times New Roman" w:hAnsi="Times New Roman" w:eastAsia="宋体" w:cs="Times New Roman"/>
                <w:color w:val="4D4D4D"/>
                <w:sz w:val="24"/>
              </w:rPr>
            </w:pPr>
            <w:r>
              <w:rPr>
                <w:rFonts w:ascii="Times New Roman" w:hAnsi="Times New Roman" w:eastAsia="宋体" w:cs="Times New Roman"/>
                <w:color w:val="4D4D4D"/>
                <w:sz w:val="24"/>
              </w:rPr>
              <w:t>30</w:t>
            </w:r>
          </w:p>
        </w:tc>
        <w:tc>
          <w:tcPr>
            <w:tcW w:w="2016" w:type="dxa"/>
          </w:tcPr>
          <w:p w14:paraId="3F072908">
            <w:pPr>
              <w:adjustRightInd w:val="0"/>
              <w:snapToGrid w:val="0"/>
              <w:spacing w:beforeLines="50" w:after="0" w:line="360" w:lineRule="auto"/>
              <w:jc w:val="center"/>
              <w:rPr>
                <w:rFonts w:ascii="Times New Roman" w:hAnsi="Times New Roman" w:eastAsia="宋体" w:cs="Times New Roman"/>
                <w:color w:val="4D4D4D"/>
                <w:sz w:val="24"/>
              </w:rPr>
            </w:pPr>
            <w:r>
              <w:rPr>
                <w:rFonts w:hint="eastAsia" w:ascii="Times New Roman" w:hAnsi="Times New Roman" w:eastAsia="宋体" w:cs="Times New Roman"/>
                <w:color w:val="4D4D4D"/>
                <w:sz w:val="24"/>
              </w:rPr>
              <w:t>2026年夏</w:t>
            </w:r>
            <w:r>
              <w:rPr>
                <w:rFonts w:ascii="Times New Roman" w:hAnsi="Times New Roman" w:eastAsia="宋体" w:cs="Times New Roman"/>
                <w:color w:val="4D4D4D"/>
                <w:sz w:val="24"/>
              </w:rPr>
              <w:t>季学期</w:t>
            </w:r>
          </w:p>
        </w:tc>
      </w:tr>
      <w:tr w14:paraId="0725E8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1D2EC6EC">
            <w:pPr>
              <w:adjustRightInd w:val="0"/>
              <w:snapToGrid w:val="0"/>
              <w:spacing w:beforeLines="50" w:after="0" w:line="360" w:lineRule="auto"/>
              <w:jc w:val="center"/>
              <w:rPr>
                <w:rFonts w:ascii="Times New Roman" w:hAnsi="Times New Roman" w:eastAsia="宋体" w:cs="Times New Roman"/>
                <w:color w:val="4D4D4D"/>
                <w:sz w:val="24"/>
              </w:rPr>
            </w:pPr>
            <w:r>
              <w:rPr>
                <w:rFonts w:ascii="Times New Roman" w:hAnsi="Times New Roman" w:eastAsia="宋体" w:cs="Times New Roman"/>
                <w:color w:val="4D4D4D"/>
                <w:sz w:val="24"/>
              </w:rPr>
              <w:t>2</w:t>
            </w:r>
          </w:p>
        </w:tc>
        <w:tc>
          <w:tcPr>
            <w:tcW w:w="3554" w:type="dxa"/>
          </w:tcPr>
          <w:p w14:paraId="7497E645">
            <w:pPr>
              <w:adjustRightInd w:val="0"/>
              <w:snapToGrid w:val="0"/>
              <w:spacing w:beforeLines="50" w:after="0" w:line="360" w:lineRule="auto"/>
              <w:jc w:val="center"/>
              <w:rPr>
                <w:rFonts w:ascii="Times New Roman" w:hAnsi="Times New Roman" w:eastAsia="宋体" w:cs="Times New Roman"/>
                <w:color w:val="4D4D4D"/>
                <w:sz w:val="24"/>
              </w:rPr>
            </w:pPr>
            <w:r>
              <w:rPr>
                <w:rFonts w:ascii="Times New Roman" w:hAnsi="Times New Roman" w:eastAsia="宋体" w:cs="Times New Roman"/>
                <w:color w:val="4D4D4D"/>
                <w:sz w:val="24"/>
              </w:rPr>
              <w:t>跨境数据流动的国际法规制</w:t>
            </w:r>
          </w:p>
        </w:tc>
        <w:tc>
          <w:tcPr>
            <w:tcW w:w="846" w:type="dxa"/>
          </w:tcPr>
          <w:p w14:paraId="06937CB2">
            <w:pPr>
              <w:adjustRightInd w:val="0"/>
              <w:snapToGrid w:val="0"/>
              <w:spacing w:beforeLines="50" w:after="0" w:line="360" w:lineRule="auto"/>
              <w:jc w:val="center"/>
              <w:rPr>
                <w:rFonts w:ascii="Times New Roman" w:hAnsi="Times New Roman" w:eastAsia="宋体" w:cs="Times New Roman"/>
                <w:color w:val="4D4D4D"/>
                <w:sz w:val="24"/>
              </w:rPr>
            </w:pPr>
            <w:r>
              <w:rPr>
                <w:rFonts w:ascii="Times New Roman" w:hAnsi="Times New Roman" w:eastAsia="宋体" w:cs="Times New Roman"/>
                <w:color w:val="4D4D4D"/>
                <w:sz w:val="24"/>
              </w:rPr>
              <w:t>2</w:t>
            </w:r>
          </w:p>
        </w:tc>
        <w:tc>
          <w:tcPr>
            <w:tcW w:w="993" w:type="dxa"/>
          </w:tcPr>
          <w:p w14:paraId="056B5448">
            <w:pPr>
              <w:adjustRightInd w:val="0"/>
              <w:snapToGrid w:val="0"/>
              <w:spacing w:beforeLines="50" w:after="0" w:line="360" w:lineRule="auto"/>
              <w:jc w:val="center"/>
              <w:rPr>
                <w:rFonts w:ascii="Times New Roman" w:hAnsi="Times New Roman" w:eastAsia="宋体" w:cs="Times New Roman"/>
                <w:color w:val="4D4D4D"/>
                <w:sz w:val="24"/>
              </w:rPr>
            </w:pPr>
            <w:r>
              <w:rPr>
                <w:rFonts w:ascii="Times New Roman" w:hAnsi="Times New Roman" w:eastAsia="宋体" w:cs="Times New Roman"/>
                <w:color w:val="4D4D4D"/>
                <w:sz w:val="24"/>
              </w:rPr>
              <w:t>30</w:t>
            </w:r>
          </w:p>
        </w:tc>
        <w:tc>
          <w:tcPr>
            <w:tcW w:w="2016" w:type="dxa"/>
          </w:tcPr>
          <w:p w14:paraId="45441ED6">
            <w:pPr>
              <w:adjustRightInd w:val="0"/>
              <w:snapToGrid w:val="0"/>
              <w:spacing w:beforeLines="50" w:after="0" w:line="360" w:lineRule="auto"/>
              <w:jc w:val="center"/>
              <w:rPr>
                <w:rFonts w:ascii="Times New Roman" w:hAnsi="Times New Roman" w:eastAsia="宋体" w:cs="Times New Roman"/>
                <w:color w:val="4D4D4D"/>
                <w:sz w:val="24"/>
              </w:rPr>
            </w:pPr>
            <w:r>
              <w:rPr>
                <w:rFonts w:hint="eastAsia" w:ascii="Times New Roman" w:hAnsi="Times New Roman" w:eastAsia="宋体" w:cs="Times New Roman"/>
                <w:color w:val="4D4D4D"/>
                <w:sz w:val="24"/>
              </w:rPr>
              <w:t>2026年夏</w:t>
            </w:r>
            <w:r>
              <w:rPr>
                <w:rFonts w:ascii="Times New Roman" w:hAnsi="Times New Roman" w:eastAsia="宋体" w:cs="Times New Roman"/>
                <w:color w:val="4D4D4D"/>
                <w:sz w:val="24"/>
              </w:rPr>
              <w:t>季学期</w:t>
            </w:r>
          </w:p>
        </w:tc>
      </w:tr>
      <w:tr w14:paraId="2FE0D7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17741B25">
            <w:pPr>
              <w:adjustRightInd w:val="0"/>
              <w:snapToGrid w:val="0"/>
              <w:spacing w:beforeLines="50" w:after="0" w:line="360" w:lineRule="auto"/>
              <w:jc w:val="center"/>
              <w:rPr>
                <w:rFonts w:ascii="Times New Roman" w:hAnsi="Times New Roman" w:eastAsia="宋体" w:cs="Times New Roman"/>
                <w:color w:val="4D4D4D"/>
                <w:sz w:val="24"/>
              </w:rPr>
            </w:pPr>
            <w:r>
              <w:rPr>
                <w:rFonts w:ascii="Times New Roman" w:hAnsi="Times New Roman" w:eastAsia="宋体" w:cs="Times New Roman"/>
                <w:color w:val="4D4D4D"/>
                <w:sz w:val="24"/>
              </w:rPr>
              <w:t>3</w:t>
            </w:r>
          </w:p>
        </w:tc>
        <w:tc>
          <w:tcPr>
            <w:tcW w:w="3554" w:type="dxa"/>
          </w:tcPr>
          <w:p w14:paraId="485B70E4">
            <w:pPr>
              <w:adjustRightInd w:val="0"/>
              <w:snapToGrid w:val="0"/>
              <w:spacing w:beforeLines="50" w:after="0" w:line="360" w:lineRule="auto"/>
              <w:jc w:val="center"/>
              <w:rPr>
                <w:rFonts w:ascii="Times New Roman" w:hAnsi="Times New Roman" w:eastAsia="宋体" w:cs="Times New Roman"/>
                <w:color w:val="4D4D4D"/>
                <w:sz w:val="24"/>
              </w:rPr>
            </w:pPr>
            <w:r>
              <w:rPr>
                <w:rFonts w:ascii="Times New Roman" w:hAnsi="Times New Roman" w:eastAsia="宋体" w:cs="Times New Roman"/>
                <w:color w:val="4D4D4D"/>
                <w:sz w:val="24"/>
              </w:rPr>
              <w:t>人工智能国际法理论与实践</w:t>
            </w:r>
          </w:p>
        </w:tc>
        <w:tc>
          <w:tcPr>
            <w:tcW w:w="846" w:type="dxa"/>
          </w:tcPr>
          <w:p w14:paraId="6D266688">
            <w:pPr>
              <w:adjustRightInd w:val="0"/>
              <w:snapToGrid w:val="0"/>
              <w:spacing w:beforeLines="50" w:after="0" w:line="360" w:lineRule="auto"/>
              <w:jc w:val="center"/>
              <w:rPr>
                <w:rFonts w:ascii="Times New Roman" w:hAnsi="Times New Roman" w:eastAsia="宋体" w:cs="Times New Roman"/>
                <w:color w:val="4D4D4D"/>
                <w:sz w:val="24"/>
              </w:rPr>
            </w:pPr>
            <w:r>
              <w:rPr>
                <w:rFonts w:ascii="Times New Roman" w:hAnsi="Times New Roman" w:eastAsia="宋体" w:cs="Times New Roman"/>
                <w:color w:val="4D4D4D"/>
                <w:sz w:val="24"/>
              </w:rPr>
              <w:t>2</w:t>
            </w:r>
          </w:p>
        </w:tc>
        <w:tc>
          <w:tcPr>
            <w:tcW w:w="993" w:type="dxa"/>
          </w:tcPr>
          <w:p w14:paraId="1EEAFE08">
            <w:pPr>
              <w:adjustRightInd w:val="0"/>
              <w:snapToGrid w:val="0"/>
              <w:spacing w:beforeLines="50" w:after="0" w:line="360" w:lineRule="auto"/>
              <w:jc w:val="center"/>
              <w:rPr>
                <w:rFonts w:ascii="Times New Roman" w:hAnsi="Times New Roman" w:eastAsia="宋体" w:cs="Times New Roman"/>
                <w:color w:val="4D4D4D"/>
                <w:sz w:val="24"/>
              </w:rPr>
            </w:pPr>
            <w:r>
              <w:rPr>
                <w:rFonts w:ascii="Times New Roman" w:hAnsi="Times New Roman" w:eastAsia="宋体" w:cs="Times New Roman"/>
                <w:color w:val="4D4D4D"/>
                <w:sz w:val="24"/>
              </w:rPr>
              <w:t>30</w:t>
            </w:r>
          </w:p>
        </w:tc>
        <w:tc>
          <w:tcPr>
            <w:tcW w:w="2016" w:type="dxa"/>
          </w:tcPr>
          <w:p w14:paraId="3CF98D88">
            <w:pPr>
              <w:adjustRightInd w:val="0"/>
              <w:snapToGrid w:val="0"/>
              <w:spacing w:beforeLines="50" w:after="0" w:line="360" w:lineRule="auto"/>
              <w:jc w:val="center"/>
              <w:rPr>
                <w:rFonts w:ascii="Times New Roman" w:hAnsi="Times New Roman" w:eastAsia="宋体" w:cs="Times New Roman"/>
                <w:color w:val="4D4D4D"/>
                <w:sz w:val="24"/>
              </w:rPr>
            </w:pPr>
            <w:r>
              <w:rPr>
                <w:rFonts w:hint="eastAsia" w:ascii="Times New Roman" w:hAnsi="Times New Roman" w:eastAsia="宋体" w:cs="Times New Roman"/>
                <w:color w:val="4D4D4D"/>
                <w:sz w:val="24"/>
              </w:rPr>
              <w:t>2026年夏</w:t>
            </w:r>
            <w:r>
              <w:rPr>
                <w:rFonts w:ascii="Times New Roman" w:hAnsi="Times New Roman" w:eastAsia="宋体" w:cs="Times New Roman"/>
                <w:color w:val="4D4D4D"/>
                <w:sz w:val="24"/>
              </w:rPr>
              <w:t>季学期</w:t>
            </w:r>
          </w:p>
        </w:tc>
      </w:tr>
      <w:tr w14:paraId="49FFED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3677A19C">
            <w:pPr>
              <w:adjustRightInd w:val="0"/>
              <w:snapToGrid w:val="0"/>
              <w:spacing w:beforeLines="50" w:after="0" w:line="360" w:lineRule="auto"/>
              <w:jc w:val="center"/>
              <w:rPr>
                <w:rFonts w:ascii="Times New Roman" w:hAnsi="Times New Roman" w:eastAsia="宋体" w:cs="Times New Roman"/>
                <w:color w:val="4D4D4D"/>
                <w:sz w:val="24"/>
              </w:rPr>
            </w:pPr>
            <w:r>
              <w:rPr>
                <w:rFonts w:ascii="Times New Roman" w:hAnsi="Times New Roman" w:eastAsia="宋体" w:cs="Times New Roman"/>
                <w:color w:val="4D4D4D"/>
                <w:sz w:val="24"/>
              </w:rPr>
              <w:t>4</w:t>
            </w:r>
          </w:p>
        </w:tc>
        <w:tc>
          <w:tcPr>
            <w:tcW w:w="3554" w:type="dxa"/>
          </w:tcPr>
          <w:p w14:paraId="57EA1C6A">
            <w:pPr>
              <w:adjustRightInd w:val="0"/>
              <w:snapToGrid w:val="0"/>
              <w:spacing w:beforeLines="50" w:after="0" w:line="360" w:lineRule="auto"/>
              <w:jc w:val="center"/>
              <w:rPr>
                <w:rFonts w:ascii="Times New Roman" w:hAnsi="Times New Roman" w:eastAsia="宋体" w:cs="Times New Roman"/>
                <w:color w:val="4D4D4D"/>
                <w:sz w:val="24"/>
              </w:rPr>
            </w:pPr>
            <w:r>
              <w:rPr>
                <w:rFonts w:ascii="Times New Roman" w:hAnsi="Times New Roman" w:eastAsia="宋体" w:cs="Times New Roman"/>
                <w:color w:val="4D4D4D"/>
                <w:sz w:val="24"/>
              </w:rPr>
              <w:t>人工智能与国际航运法</w:t>
            </w:r>
          </w:p>
        </w:tc>
        <w:tc>
          <w:tcPr>
            <w:tcW w:w="846" w:type="dxa"/>
          </w:tcPr>
          <w:p w14:paraId="5563F74C">
            <w:pPr>
              <w:adjustRightInd w:val="0"/>
              <w:snapToGrid w:val="0"/>
              <w:spacing w:beforeLines="50" w:after="0" w:line="360" w:lineRule="auto"/>
              <w:jc w:val="center"/>
              <w:rPr>
                <w:rFonts w:ascii="Times New Roman" w:hAnsi="Times New Roman" w:eastAsia="宋体" w:cs="Times New Roman"/>
                <w:color w:val="4D4D4D"/>
                <w:sz w:val="24"/>
              </w:rPr>
            </w:pPr>
            <w:r>
              <w:rPr>
                <w:rFonts w:ascii="Times New Roman" w:hAnsi="Times New Roman" w:eastAsia="宋体" w:cs="Times New Roman"/>
                <w:color w:val="4D4D4D"/>
                <w:sz w:val="24"/>
              </w:rPr>
              <w:t>2</w:t>
            </w:r>
          </w:p>
        </w:tc>
        <w:tc>
          <w:tcPr>
            <w:tcW w:w="993" w:type="dxa"/>
          </w:tcPr>
          <w:p w14:paraId="7588BA8D">
            <w:pPr>
              <w:adjustRightInd w:val="0"/>
              <w:snapToGrid w:val="0"/>
              <w:spacing w:beforeLines="50" w:after="0" w:line="360" w:lineRule="auto"/>
              <w:jc w:val="center"/>
              <w:rPr>
                <w:rFonts w:ascii="Times New Roman" w:hAnsi="Times New Roman" w:eastAsia="宋体" w:cs="Times New Roman"/>
                <w:color w:val="4D4D4D"/>
                <w:sz w:val="24"/>
              </w:rPr>
            </w:pPr>
            <w:r>
              <w:rPr>
                <w:rFonts w:ascii="Times New Roman" w:hAnsi="Times New Roman" w:eastAsia="宋体" w:cs="Times New Roman"/>
                <w:color w:val="4D4D4D"/>
                <w:sz w:val="24"/>
              </w:rPr>
              <w:t>30</w:t>
            </w:r>
          </w:p>
        </w:tc>
        <w:tc>
          <w:tcPr>
            <w:tcW w:w="2016" w:type="dxa"/>
          </w:tcPr>
          <w:p w14:paraId="7541133B">
            <w:pPr>
              <w:adjustRightInd w:val="0"/>
              <w:snapToGrid w:val="0"/>
              <w:spacing w:beforeLines="50" w:after="0" w:line="360" w:lineRule="auto"/>
              <w:jc w:val="center"/>
              <w:rPr>
                <w:rFonts w:ascii="Times New Roman" w:hAnsi="Times New Roman" w:eastAsia="宋体" w:cs="Times New Roman"/>
                <w:color w:val="4D4D4D"/>
                <w:sz w:val="24"/>
              </w:rPr>
            </w:pPr>
            <w:r>
              <w:rPr>
                <w:rFonts w:hint="eastAsia" w:ascii="Times New Roman" w:hAnsi="Times New Roman" w:eastAsia="宋体" w:cs="Times New Roman"/>
                <w:color w:val="4D4D4D"/>
                <w:sz w:val="24"/>
              </w:rPr>
              <w:t>2026年</w:t>
            </w:r>
            <w:r>
              <w:rPr>
                <w:rFonts w:ascii="Times New Roman" w:hAnsi="Times New Roman" w:eastAsia="宋体" w:cs="Times New Roman"/>
                <w:color w:val="4D4D4D"/>
                <w:sz w:val="24"/>
              </w:rPr>
              <w:t>秋季学期</w:t>
            </w:r>
          </w:p>
        </w:tc>
      </w:tr>
    </w:tbl>
    <w:p w14:paraId="4F726C84">
      <w:pPr>
        <w:adjustRightInd w:val="0"/>
        <w:snapToGrid w:val="0"/>
        <w:spacing w:beforeLines="50" w:after="0" w:line="360" w:lineRule="auto"/>
        <w:ind w:firstLine="361" w:firstLineChars="150"/>
        <w:jc w:val="both"/>
        <w:rPr>
          <w:rFonts w:ascii="宋体" w:hAnsi="宋体" w:eastAsia="宋体" w:cs="宋体"/>
          <w:b/>
          <w:sz w:val="24"/>
          <w:szCs w:val="22"/>
        </w:rPr>
      </w:pPr>
      <w:r>
        <w:rPr>
          <w:rFonts w:ascii="宋体" w:hAnsi="宋体" w:eastAsia="宋体" w:cs="宋体"/>
          <w:b/>
          <w:sz w:val="24"/>
          <w:szCs w:val="22"/>
        </w:rPr>
        <w:t>附：课程简介</w:t>
      </w:r>
    </w:p>
    <w:p w14:paraId="3982A62A">
      <w:pPr>
        <w:numPr>
          <w:ilvl w:val="0"/>
          <w:numId w:val="4"/>
        </w:numPr>
        <w:adjustRightInd w:val="0"/>
        <w:snapToGrid w:val="0"/>
        <w:spacing w:beforeLines="50" w:after="0" w:line="360" w:lineRule="auto"/>
        <w:jc w:val="both"/>
      </w:pPr>
      <w:r>
        <w:rPr>
          <w:rFonts w:ascii="宋体" w:hAnsi="宋体" w:eastAsia="宋体" w:cs="宋体"/>
          <w:b/>
          <w:sz w:val="24"/>
          <w:szCs w:val="22"/>
        </w:rPr>
        <w:t>《数字贸易法》课程</w:t>
      </w:r>
    </w:p>
    <w:p w14:paraId="7E33FCCD">
      <w:pPr>
        <w:adjustRightInd w:val="0"/>
        <w:snapToGrid w:val="0"/>
        <w:spacing w:beforeLines="50" w:after="0" w:line="360" w:lineRule="auto"/>
        <w:ind w:firstLine="480" w:firstLineChars="200"/>
        <w:jc w:val="both"/>
        <w:rPr>
          <w:rFonts w:ascii="宋体" w:hAnsi="宋体" w:eastAsia="宋体"/>
          <w:sz w:val="24"/>
        </w:rPr>
      </w:pPr>
      <w:r>
        <w:rPr>
          <w:rFonts w:hint="eastAsia" w:ascii="宋体" w:hAnsi="宋体" w:eastAsia="宋体"/>
          <w:sz w:val="24"/>
        </w:rPr>
        <w:t>本课程围绕数字经济背景下国际贸易规则的新发展，系统介绍数字贸易的基本概念、制度框架和主要法律问题。课程重点讨论电子商务规则、数字产品与数字服务贸易、平台责任、数据驱动型贸易、数字贸易争端解决等内容，并结合CPTPP、DEPA等国际规则及我国数字贸易法治实践，帮助学生理解人工智能与数字贸易深度融合背景下国际经贸规则的演进趋势。通过本课程学习，学生能够初步掌握数字贸易法的基本制度和分析框架，提升对数字经济国际规则的理解能力。</w:t>
      </w:r>
    </w:p>
    <w:p w14:paraId="5A25FA8B">
      <w:pPr>
        <w:numPr>
          <w:ilvl w:val="0"/>
          <w:numId w:val="4"/>
        </w:numPr>
        <w:adjustRightInd w:val="0"/>
        <w:snapToGrid w:val="0"/>
        <w:spacing w:beforeLines="50" w:after="0" w:line="360" w:lineRule="auto"/>
        <w:jc w:val="both"/>
        <w:rPr>
          <w:rFonts w:ascii="宋体" w:hAnsi="宋体" w:eastAsia="宋体" w:cs="宋体"/>
          <w:b/>
          <w:sz w:val="24"/>
          <w:szCs w:val="22"/>
        </w:rPr>
      </w:pPr>
      <w:r>
        <w:rPr>
          <w:rFonts w:ascii="宋体" w:hAnsi="宋体" w:eastAsia="宋体" w:cs="宋体"/>
          <w:b/>
          <w:sz w:val="24"/>
          <w:szCs w:val="22"/>
        </w:rPr>
        <w:t>《跨境数据流动的国际法规制》课程</w:t>
      </w:r>
    </w:p>
    <w:p w14:paraId="799280B4">
      <w:pPr>
        <w:adjustRightInd w:val="0"/>
        <w:snapToGrid w:val="0"/>
        <w:spacing w:beforeLines="50" w:after="0" w:line="360" w:lineRule="auto"/>
        <w:ind w:firstLine="480" w:firstLineChars="200"/>
        <w:jc w:val="both"/>
        <w:rPr>
          <w:rFonts w:ascii="宋体" w:hAnsi="宋体" w:eastAsia="宋体"/>
          <w:sz w:val="24"/>
        </w:rPr>
      </w:pPr>
      <w:r>
        <w:rPr>
          <w:rFonts w:ascii="宋体" w:hAnsi="宋体" w:eastAsia="宋体"/>
          <w:sz w:val="24"/>
        </w:rPr>
        <w:t>本课程聚焦跨境数据流动的国际法规制问题，系统介绍数据主权、数据安全、个人信息保护、跨境传输合规、数据本地化措施及其国际规则协调等核心议题。课程将结合欧盟、美国及亚太地区的规则实践，分析跨境数据流动在国际贸易、投资、网络安全和国家安全中的法律争议与治理路径。通过本课程学习，学生能够把握跨境数据流动规制的主要制度模式和国际法争点，提升处理相关涉外法律问题的能力。</w:t>
      </w:r>
    </w:p>
    <w:p w14:paraId="756F1837">
      <w:pPr>
        <w:numPr>
          <w:ilvl w:val="0"/>
          <w:numId w:val="4"/>
        </w:numPr>
        <w:adjustRightInd w:val="0"/>
        <w:snapToGrid w:val="0"/>
        <w:spacing w:beforeLines="50" w:after="0" w:line="360" w:lineRule="auto"/>
        <w:jc w:val="both"/>
        <w:rPr>
          <w:rFonts w:ascii="宋体" w:hAnsi="宋体" w:eastAsia="宋体" w:cs="宋体"/>
          <w:b/>
          <w:sz w:val="24"/>
          <w:szCs w:val="22"/>
        </w:rPr>
      </w:pPr>
      <w:r>
        <w:rPr>
          <w:rFonts w:ascii="宋体" w:hAnsi="宋体" w:eastAsia="宋体" w:cs="宋体"/>
          <w:b/>
          <w:sz w:val="24"/>
          <w:szCs w:val="22"/>
        </w:rPr>
        <w:t>《人工智能国际法理论与实践》课程</w:t>
      </w:r>
    </w:p>
    <w:p w14:paraId="241B5D09">
      <w:pPr>
        <w:adjustRightInd w:val="0"/>
        <w:snapToGrid w:val="0"/>
        <w:spacing w:beforeLines="50" w:after="0" w:line="360" w:lineRule="auto"/>
        <w:ind w:firstLine="480" w:firstLineChars="200"/>
        <w:jc w:val="both"/>
        <w:rPr>
          <w:rFonts w:ascii="宋体" w:hAnsi="宋体" w:eastAsia="宋体"/>
          <w:sz w:val="24"/>
        </w:rPr>
      </w:pPr>
      <w:r>
        <w:rPr>
          <w:rFonts w:ascii="宋体" w:hAnsi="宋体" w:eastAsia="宋体"/>
          <w:sz w:val="24"/>
        </w:rPr>
        <w:t>本课程是本微专业的核心课程，旨在从国际法视角系统考察人工智能治理问题。课程内容涵盖人工智能的基本技术逻辑、国际法主体与责任、全球治理框架、国际组织规则、软法规范、算法治理、风险规制及国际合作机制、人工智能与国际人道法等内容。课程既重视基本理论阐释，也注重结合联合国、欧盟及主要国家实践展开案例分析。通过本课程学习，学生能够建立人工智能国际治理的总体知识框架，提升运用国际法分析新兴技术问题的能力。</w:t>
      </w:r>
    </w:p>
    <w:p w14:paraId="3D39E055">
      <w:pPr>
        <w:numPr>
          <w:ilvl w:val="0"/>
          <w:numId w:val="4"/>
        </w:numPr>
        <w:adjustRightInd w:val="0"/>
        <w:snapToGrid w:val="0"/>
        <w:spacing w:beforeLines="50" w:after="0" w:line="360" w:lineRule="auto"/>
        <w:jc w:val="both"/>
        <w:rPr>
          <w:sz w:val="24"/>
        </w:rPr>
      </w:pPr>
      <w:r>
        <w:rPr>
          <w:rFonts w:ascii="宋体" w:hAnsi="宋体" w:eastAsia="宋体" w:cs="宋体"/>
          <w:b/>
          <w:sz w:val="24"/>
          <w:szCs w:val="22"/>
        </w:rPr>
        <w:t>《人工智能与国际航运法》课程</w:t>
      </w:r>
    </w:p>
    <w:p w14:paraId="2E8767BE">
      <w:pPr>
        <w:adjustRightInd w:val="0"/>
        <w:snapToGrid w:val="0"/>
        <w:spacing w:beforeLines="50" w:after="0" w:line="360" w:lineRule="auto"/>
        <w:ind w:firstLine="480" w:firstLineChars="200"/>
        <w:jc w:val="both"/>
        <w:rPr>
          <w:rFonts w:ascii="宋体" w:hAnsi="宋体" w:eastAsia="宋体"/>
          <w:sz w:val="24"/>
        </w:rPr>
      </w:pPr>
      <w:r>
        <w:rPr>
          <w:rFonts w:ascii="宋体" w:hAnsi="宋体" w:eastAsia="宋体"/>
          <w:sz w:val="24"/>
        </w:rPr>
        <w:t>本课程聚焦人工智能技术在国际航运领域的应用与法律规制，围绕智能船舶、自动化港口、航运数据治理、海上运输责任、海上安全与风险分配等问题展开。课程重点分析人工智能如何改变国际航运中的合同履行、事故责任、保险安排、监管模式和国际规则适用，并结合国际海事组织及相关国家和地区实践，探讨智能航运发展的法律挑战与制度回应。通过本课程学习，学生能够理解人工智能在航运业态转型中的法律意义，提升将国际法与行业场景相结合的分析能力。</w:t>
      </w:r>
    </w:p>
    <w:p w14:paraId="0AFFABA0">
      <w:pPr>
        <w:adjustRightInd w:val="0"/>
        <w:snapToGrid w:val="0"/>
        <w:spacing w:beforeLines="50" w:after="0" w:line="360" w:lineRule="auto"/>
        <w:ind w:firstLine="482" w:firstLineChars="200"/>
        <w:jc w:val="both"/>
        <w:rPr>
          <w:rStyle w:val="18"/>
          <w:rFonts w:ascii="黑体" w:hAnsi="黑体" w:eastAsia="黑体" w:cs="黑体"/>
          <w:color w:val="4D4D4D"/>
          <w:sz w:val="24"/>
        </w:rPr>
      </w:pPr>
      <w:r>
        <w:rPr>
          <w:rStyle w:val="18"/>
          <w:rFonts w:ascii="黑体" w:hAnsi="黑体" w:eastAsia="黑体" w:cs="黑体"/>
          <w:color w:val="4D4D4D"/>
          <w:sz w:val="24"/>
        </w:rPr>
        <w:t>五、师资力量</w:t>
      </w:r>
    </w:p>
    <w:p w14:paraId="66D76359">
      <w:pPr>
        <w:adjustRightInd w:val="0"/>
        <w:snapToGrid w:val="0"/>
        <w:spacing w:beforeLines="50" w:after="0" w:line="360" w:lineRule="auto"/>
        <w:ind w:left="480"/>
        <w:jc w:val="both"/>
        <w:rPr>
          <w:rFonts w:ascii="宋体" w:hAnsi="宋体" w:eastAsia="宋体" w:cs="宋体"/>
          <w:bCs/>
          <w:sz w:val="24"/>
          <w:szCs w:val="22"/>
        </w:rPr>
      </w:pPr>
      <w:r>
        <w:rPr>
          <w:rFonts w:ascii="宋体" w:hAnsi="宋体" w:eastAsia="宋体" w:cs="宋体"/>
          <w:bCs/>
          <w:sz w:val="24"/>
          <w:szCs w:val="22"/>
        </w:rPr>
        <w:t xml:space="preserve">张卫彬 教授上海政法学院国际法学院 </w:t>
      </w:r>
    </w:p>
    <w:p w14:paraId="7705825F">
      <w:pPr>
        <w:adjustRightInd w:val="0"/>
        <w:snapToGrid w:val="0"/>
        <w:spacing w:beforeLines="50" w:after="0" w:line="360" w:lineRule="auto"/>
        <w:ind w:left="480"/>
        <w:jc w:val="both"/>
        <w:rPr>
          <w:rFonts w:ascii="宋体" w:hAnsi="宋体" w:eastAsia="宋体" w:cs="宋体"/>
          <w:bCs/>
          <w:sz w:val="24"/>
          <w:szCs w:val="22"/>
        </w:rPr>
      </w:pPr>
      <w:r>
        <w:rPr>
          <w:rFonts w:ascii="宋体" w:hAnsi="宋体" w:eastAsia="宋体" w:cs="宋体"/>
          <w:bCs/>
          <w:sz w:val="24"/>
          <w:szCs w:val="22"/>
        </w:rPr>
        <w:t xml:space="preserve">殷敏 教授上海政法学院国际法学院 </w:t>
      </w:r>
    </w:p>
    <w:p w14:paraId="6F8B915F">
      <w:pPr>
        <w:adjustRightInd w:val="0"/>
        <w:snapToGrid w:val="0"/>
        <w:spacing w:beforeLines="50" w:after="0" w:line="360" w:lineRule="auto"/>
        <w:ind w:left="480"/>
        <w:jc w:val="both"/>
        <w:rPr>
          <w:rFonts w:ascii="宋体" w:hAnsi="宋体" w:eastAsia="宋体" w:cs="宋体"/>
          <w:bCs/>
          <w:sz w:val="24"/>
          <w:szCs w:val="22"/>
        </w:rPr>
      </w:pPr>
      <w:r>
        <w:rPr>
          <w:rFonts w:ascii="宋体" w:hAnsi="宋体" w:eastAsia="宋体" w:cs="宋体"/>
          <w:bCs/>
          <w:sz w:val="24"/>
          <w:szCs w:val="22"/>
        </w:rPr>
        <w:t xml:space="preserve">齐萌 教授上海政法学院国际法学院 </w:t>
      </w:r>
    </w:p>
    <w:p w14:paraId="0B1A153C">
      <w:pPr>
        <w:adjustRightInd w:val="0"/>
        <w:snapToGrid w:val="0"/>
        <w:spacing w:beforeLines="50" w:after="0" w:line="360" w:lineRule="auto"/>
        <w:ind w:left="480"/>
        <w:jc w:val="both"/>
        <w:rPr>
          <w:rFonts w:ascii="宋体" w:hAnsi="宋体" w:eastAsia="宋体" w:cs="宋体"/>
          <w:bCs/>
          <w:sz w:val="24"/>
          <w:szCs w:val="22"/>
        </w:rPr>
      </w:pPr>
      <w:r>
        <w:rPr>
          <w:rFonts w:ascii="宋体" w:hAnsi="宋体" w:eastAsia="宋体" w:cs="宋体"/>
          <w:bCs/>
          <w:sz w:val="24"/>
          <w:szCs w:val="22"/>
        </w:rPr>
        <w:t xml:space="preserve">管建强 教授华东政法大学国际法学院 </w:t>
      </w:r>
    </w:p>
    <w:p w14:paraId="34524067">
      <w:pPr>
        <w:adjustRightInd w:val="0"/>
        <w:snapToGrid w:val="0"/>
        <w:spacing w:beforeLines="50" w:after="0" w:line="360" w:lineRule="auto"/>
        <w:ind w:left="480"/>
        <w:jc w:val="both"/>
        <w:rPr>
          <w:rFonts w:ascii="宋体" w:hAnsi="宋体" w:eastAsia="宋体" w:cs="宋体"/>
          <w:bCs/>
          <w:sz w:val="24"/>
          <w:szCs w:val="22"/>
        </w:rPr>
      </w:pPr>
      <w:r>
        <w:rPr>
          <w:rFonts w:ascii="宋体" w:hAnsi="宋体" w:eastAsia="宋体" w:cs="宋体"/>
          <w:bCs/>
          <w:sz w:val="24"/>
          <w:szCs w:val="22"/>
        </w:rPr>
        <w:t xml:space="preserve">张虎 教授华东政法大学国际法学院 </w:t>
      </w:r>
    </w:p>
    <w:p w14:paraId="2C108086">
      <w:pPr>
        <w:adjustRightInd w:val="0"/>
        <w:snapToGrid w:val="0"/>
        <w:spacing w:beforeLines="50" w:after="0" w:line="360" w:lineRule="auto"/>
        <w:ind w:left="480"/>
        <w:jc w:val="both"/>
        <w:rPr>
          <w:rFonts w:ascii="宋体" w:hAnsi="宋体" w:eastAsia="宋体" w:cs="宋体"/>
          <w:bCs/>
          <w:sz w:val="24"/>
          <w:szCs w:val="22"/>
        </w:rPr>
      </w:pPr>
      <w:r>
        <w:rPr>
          <w:rFonts w:ascii="宋体" w:hAnsi="宋体" w:eastAsia="宋体" w:cs="宋体"/>
          <w:bCs/>
          <w:sz w:val="24"/>
          <w:szCs w:val="22"/>
        </w:rPr>
        <w:t xml:space="preserve">陈振云 副教授上海政法学院国际法学院 </w:t>
      </w:r>
    </w:p>
    <w:p w14:paraId="34AC6410">
      <w:pPr>
        <w:adjustRightInd w:val="0"/>
        <w:snapToGrid w:val="0"/>
        <w:spacing w:beforeLines="50" w:after="0" w:line="360" w:lineRule="auto"/>
        <w:ind w:left="480"/>
        <w:jc w:val="both"/>
        <w:rPr>
          <w:rFonts w:ascii="宋体" w:hAnsi="宋体" w:eastAsia="宋体" w:cs="宋体"/>
          <w:bCs/>
          <w:sz w:val="24"/>
          <w:szCs w:val="22"/>
        </w:rPr>
      </w:pPr>
      <w:r>
        <w:rPr>
          <w:rFonts w:ascii="宋体" w:hAnsi="宋体" w:eastAsia="宋体" w:cs="宋体"/>
          <w:bCs/>
          <w:sz w:val="24"/>
          <w:szCs w:val="22"/>
        </w:rPr>
        <w:t xml:space="preserve">孙心依 讲师上海政法学院国际法学院 </w:t>
      </w:r>
    </w:p>
    <w:p w14:paraId="62AC7013">
      <w:pPr>
        <w:tabs>
          <w:tab w:val="left" w:pos="720"/>
        </w:tabs>
        <w:adjustRightInd w:val="0"/>
        <w:snapToGrid w:val="0"/>
        <w:spacing w:beforeLines="50" w:after="0" w:line="360" w:lineRule="auto"/>
        <w:ind w:left="480"/>
        <w:jc w:val="both"/>
        <w:rPr>
          <w:rFonts w:ascii="宋体" w:hAnsi="宋体" w:eastAsia="宋体" w:cs="宋体"/>
          <w:bCs/>
          <w:sz w:val="24"/>
          <w:szCs w:val="22"/>
        </w:rPr>
      </w:pPr>
      <w:r>
        <w:rPr>
          <w:rFonts w:ascii="宋体" w:hAnsi="宋体" w:eastAsia="宋体" w:cs="宋体"/>
          <w:bCs/>
          <w:sz w:val="24"/>
          <w:szCs w:val="22"/>
        </w:rPr>
        <w:t xml:space="preserve">向福斌 高级合伙人炜衡律师事务所 </w:t>
      </w:r>
    </w:p>
    <w:p w14:paraId="09A2A972">
      <w:pPr>
        <w:adjustRightInd w:val="0"/>
        <w:snapToGrid w:val="0"/>
        <w:spacing w:beforeLines="50" w:after="0" w:line="360" w:lineRule="auto"/>
        <w:ind w:left="480"/>
        <w:jc w:val="both"/>
        <w:rPr>
          <w:rFonts w:ascii="宋体" w:hAnsi="宋体" w:eastAsia="宋体" w:cs="宋体"/>
          <w:bCs/>
          <w:sz w:val="24"/>
          <w:szCs w:val="22"/>
        </w:rPr>
      </w:pPr>
      <w:r>
        <w:rPr>
          <w:rFonts w:ascii="宋体" w:hAnsi="宋体" w:eastAsia="宋体" w:cs="宋体"/>
          <w:bCs/>
          <w:sz w:val="24"/>
          <w:szCs w:val="22"/>
        </w:rPr>
        <w:t xml:space="preserve">阎斌 一级律师北京安杰世泽律师事务所 </w:t>
      </w:r>
    </w:p>
    <w:p w14:paraId="4B2641FD">
      <w:pPr>
        <w:adjustRightInd w:val="0"/>
        <w:snapToGrid w:val="0"/>
        <w:spacing w:beforeLines="50" w:after="0" w:line="360" w:lineRule="auto"/>
        <w:ind w:left="480"/>
        <w:jc w:val="both"/>
        <w:rPr>
          <w:rFonts w:ascii="宋体" w:hAnsi="宋体" w:eastAsia="宋体" w:cs="宋体"/>
          <w:bCs/>
          <w:sz w:val="24"/>
          <w:szCs w:val="22"/>
        </w:rPr>
      </w:pPr>
      <w:r>
        <w:rPr>
          <w:rFonts w:ascii="宋体" w:hAnsi="宋体" w:eastAsia="宋体" w:cs="宋体"/>
          <w:bCs/>
          <w:sz w:val="24"/>
          <w:szCs w:val="22"/>
        </w:rPr>
        <w:t xml:space="preserve">邬旭炜 一级律师北京安杰世泽律师事务所 </w:t>
      </w:r>
    </w:p>
    <w:p w14:paraId="2521D869">
      <w:pPr>
        <w:adjustRightInd w:val="0"/>
        <w:snapToGrid w:val="0"/>
        <w:spacing w:beforeLines="50" w:after="0" w:line="360" w:lineRule="auto"/>
        <w:ind w:firstLine="482" w:firstLineChars="200"/>
        <w:jc w:val="both"/>
        <w:rPr>
          <w:rStyle w:val="18"/>
          <w:rFonts w:ascii="黑体" w:hAnsi="黑体" w:eastAsia="黑体" w:cs="黑体"/>
          <w:color w:val="000000" w:themeColor="text1"/>
          <w:sz w:val="24"/>
        </w:rPr>
      </w:pPr>
      <w:r>
        <w:rPr>
          <w:rStyle w:val="18"/>
          <w:rFonts w:ascii="黑体" w:hAnsi="黑体" w:eastAsia="黑体" w:cs="黑体"/>
          <w:color w:val="000000" w:themeColor="text1"/>
          <w:sz w:val="24"/>
        </w:rPr>
        <w:t>六、学制及证书</w:t>
      </w:r>
    </w:p>
    <w:p w14:paraId="70A8FE21">
      <w:pPr>
        <w:adjustRightInd w:val="0"/>
        <w:snapToGrid w:val="0"/>
        <w:spacing w:beforeLines="50" w:after="0" w:line="360" w:lineRule="auto"/>
        <w:ind w:firstLine="480" w:firstLineChars="200"/>
        <w:jc w:val="both"/>
        <w:rPr>
          <w:rFonts w:ascii="宋体" w:hAnsi="宋体" w:eastAsia="宋体"/>
          <w:color w:val="000000" w:themeColor="text1"/>
          <w:sz w:val="24"/>
        </w:rPr>
      </w:pPr>
      <w:r>
        <w:rPr>
          <w:rFonts w:ascii="宋体" w:hAnsi="宋体" w:eastAsia="宋体"/>
          <w:color w:val="000000" w:themeColor="text1"/>
          <w:sz w:val="24"/>
        </w:rPr>
        <w:t>本微专业修读年限为2个学期（</w:t>
      </w:r>
      <w:r>
        <w:rPr>
          <w:rFonts w:hint="eastAsia" w:ascii="宋体" w:hAnsi="宋体" w:eastAsia="宋体"/>
          <w:color w:val="000000" w:themeColor="text1"/>
          <w:sz w:val="24"/>
        </w:rPr>
        <w:t>2026年</w:t>
      </w:r>
      <w:r>
        <w:rPr>
          <w:rFonts w:ascii="宋体" w:hAnsi="宋体" w:eastAsia="宋体"/>
          <w:color w:val="000000" w:themeColor="text1"/>
          <w:sz w:val="24"/>
        </w:rPr>
        <w:t>夏季学期和秋季学期）。对修满培养方案规定的8个学分、达到培养要求的学生，</w:t>
      </w:r>
      <w:r>
        <w:rPr>
          <w:rFonts w:hint="eastAsia" w:ascii="宋体" w:hAnsi="宋体" w:eastAsia="宋体"/>
          <w:color w:val="000000" w:themeColor="text1"/>
          <w:sz w:val="24"/>
        </w:rPr>
        <w:t>可获得上海政法学院颁发的</w:t>
      </w:r>
      <w:r>
        <w:rPr>
          <w:rFonts w:ascii="宋体" w:hAnsi="宋体" w:eastAsia="宋体"/>
          <w:color w:val="000000" w:themeColor="text1"/>
          <w:sz w:val="24"/>
        </w:rPr>
        <w:t>“人工智能与国际法微专业</w:t>
      </w:r>
      <w:r>
        <w:rPr>
          <w:rFonts w:hint="eastAsia" w:ascii="宋体" w:hAnsi="宋体" w:eastAsia="宋体"/>
          <w:color w:val="000000" w:themeColor="text1"/>
          <w:sz w:val="24"/>
        </w:rPr>
        <w:t>结业</w:t>
      </w:r>
      <w:r>
        <w:rPr>
          <w:rFonts w:ascii="宋体" w:hAnsi="宋体" w:eastAsia="宋体"/>
          <w:color w:val="000000" w:themeColor="text1"/>
          <w:sz w:val="24"/>
        </w:rPr>
        <w:t>证书</w:t>
      </w:r>
      <w:r>
        <w:rPr>
          <w:rFonts w:hint="eastAsia" w:ascii="宋体" w:hAnsi="宋体" w:eastAsia="宋体"/>
          <w:color w:val="000000" w:themeColor="text1"/>
          <w:sz w:val="24"/>
        </w:rPr>
        <w:t>”</w:t>
      </w:r>
      <w:r>
        <w:rPr>
          <w:rFonts w:ascii="宋体" w:hAnsi="宋体" w:eastAsia="宋体"/>
          <w:color w:val="000000" w:themeColor="text1"/>
          <w:sz w:val="24"/>
        </w:rPr>
        <w:t xml:space="preserve"> 。</w:t>
      </w:r>
    </w:p>
    <w:p w14:paraId="2C91978A">
      <w:pPr>
        <w:adjustRightInd w:val="0"/>
        <w:snapToGrid w:val="0"/>
        <w:spacing w:beforeLines="50" w:after="0" w:line="360" w:lineRule="auto"/>
        <w:ind w:firstLine="482" w:firstLineChars="200"/>
        <w:jc w:val="both"/>
        <w:rPr>
          <w:rStyle w:val="18"/>
          <w:rFonts w:ascii="黑体" w:hAnsi="黑体" w:eastAsia="黑体" w:cs="黑体"/>
          <w:color w:val="000000" w:themeColor="text1"/>
          <w:sz w:val="24"/>
        </w:rPr>
      </w:pPr>
      <w:r>
        <w:rPr>
          <w:rStyle w:val="18"/>
          <w:rFonts w:ascii="黑体" w:hAnsi="黑体" w:eastAsia="黑体" w:cs="黑体"/>
          <w:color w:val="000000" w:themeColor="text1"/>
          <w:sz w:val="24"/>
        </w:rPr>
        <w:t>七、报名时间与办法</w:t>
      </w:r>
    </w:p>
    <w:p w14:paraId="2B562BFC">
      <w:pPr>
        <w:adjustRightInd w:val="0"/>
        <w:snapToGrid w:val="0"/>
        <w:spacing w:beforeLines="50" w:after="0" w:line="360" w:lineRule="auto"/>
        <w:ind w:left="480"/>
        <w:jc w:val="both"/>
        <w:rPr>
          <w:rFonts w:ascii="宋体" w:hAnsi="宋体" w:eastAsia="宋体"/>
          <w:color w:val="000000" w:themeColor="text1"/>
          <w:sz w:val="24"/>
        </w:rPr>
      </w:pPr>
      <w:r>
        <w:rPr>
          <w:rFonts w:ascii="宋体" w:hAnsi="宋体" w:eastAsia="宋体"/>
          <w:b/>
          <w:bCs/>
          <w:color w:val="000000" w:themeColor="text1"/>
          <w:sz w:val="24"/>
        </w:rPr>
        <w:t>报名截止时间：</w:t>
      </w:r>
      <w:r>
        <w:rPr>
          <w:rFonts w:hint="eastAsia" w:ascii="宋体" w:hAnsi="宋体" w:eastAsia="宋体"/>
          <w:color w:val="000000" w:themeColor="text1"/>
          <w:sz w:val="24"/>
          <w:szCs w:val="24"/>
        </w:rPr>
        <w:t>2026年5月1</w:t>
      </w:r>
      <w:r>
        <w:rPr>
          <w:rFonts w:hint="eastAsia" w:ascii="宋体" w:hAnsi="宋体" w:eastAsia="宋体"/>
          <w:color w:val="000000" w:themeColor="text1"/>
          <w:sz w:val="24"/>
          <w:szCs w:val="24"/>
          <w:lang w:val="en-US" w:eastAsia="zh-CN"/>
        </w:rPr>
        <w:t>2</w:t>
      </w:r>
      <w:r>
        <w:rPr>
          <w:rFonts w:hint="eastAsia" w:ascii="宋体" w:hAnsi="宋体" w:eastAsia="宋体"/>
          <w:color w:val="000000" w:themeColor="text1"/>
          <w:sz w:val="24"/>
          <w:szCs w:val="24"/>
        </w:rPr>
        <w:t>日（星期</w:t>
      </w:r>
      <w:r>
        <w:rPr>
          <w:rFonts w:hint="eastAsia" w:ascii="宋体" w:hAnsi="宋体" w:eastAsia="宋体"/>
          <w:color w:val="000000" w:themeColor="text1"/>
          <w:sz w:val="24"/>
          <w:szCs w:val="24"/>
          <w:lang w:val="en-US" w:eastAsia="zh-CN"/>
        </w:rPr>
        <w:t>二</w:t>
      </w:r>
      <w:r>
        <w:rPr>
          <w:rFonts w:hint="eastAsia" w:ascii="宋体" w:hAnsi="宋体" w:eastAsia="宋体"/>
          <w:color w:val="000000" w:themeColor="text1"/>
          <w:sz w:val="24"/>
          <w:szCs w:val="24"/>
        </w:rPr>
        <w:t>）</w:t>
      </w:r>
      <w:bookmarkStart w:id="0" w:name="_GoBack"/>
      <w:bookmarkEnd w:id="0"/>
      <w:r>
        <w:rPr>
          <w:rFonts w:ascii="宋体" w:hAnsi="宋体" w:eastAsia="宋体"/>
          <w:color w:val="000000" w:themeColor="text1"/>
          <w:sz w:val="24"/>
        </w:rPr>
        <w:t>。</w:t>
      </w:r>
    </w:p>
    <w:p w14:paraId="45A5B218">
      <w:pPr>
        <w:adjustRightInd w:val="0"/>
        <w:snapToGrid w:val="0"/>
        <w:spacing w:beforeLines="50" w:after="0" w:line="360" w:lineRule="auto"/>
        <w:ind w:firstLine="482" w:firstLineChars="200"/>
        <w:jc w:val="both"/>
        <w:rPr>
          <w:rFonts w:ascii="宋体" w:hAnsi="宋体" w:eastAsia="宋体"/>
          <w:color w:val="4D4D4D"/>
          <w:sz w:val="24"/>
        </w:rPr>
      </w:pPr>
      <w:r>
        <w:rPr>
          <w:rFonts w:ascii="宋体" w:hAnsi="宋体" w:eastAsia="宋体"/>
          <w:b/>
          <w:bCs/>
          <w:color w:val="000000" w:themeColor="text1"/>
          <w:sz w:val="24"/>
        </w:rPr>
        <w:t>报名办法：</w:t>
      </w:r>
      <w:r>
        <w:rPr>
          <w:rFonts w:hint="eastAsia" w:ascii="宋体" w:hAnsi="宋体" w:eastAsia="宋体"/>
          <w:color w:val="000000" w:themeColor="text1"/>
          <w:sz w:val="24"/>
        </w:rPr>
        <w:t>请符合报名条件的同学将《上海政法学院本科生修读微专业申请表》及本人成绩单纸质版提交至国际法学院B1-210办公室，同时将电子版发送到gjfshupl@163.com。</w:t>
      </w:r>
    </w:p>
    <w:p w14:paraId="3E5DEBF7">
      <w:pPr>
        <w:adjustRightInd w:val="0"/>
        <w:snapToGrid w:val="0"/>
        <w:spacing w:beforeLines="50" w:after="0" w:line="360" w:lineRule="auto"/>
        <w:ind w:left="480"/>
        <w:jc w:val="both"/>
        <w:rPr>
          <w:rFonts w:ascii="宋体" w:hAnsi="宋体" w:eastAsia="宋体"/>
          <w:color w:val="000000" w:themeColor="text1"/>
          <w:sz w:val="24"/>
        </w:rPr>
      </w:pPr>
      <w:r>
        <w:rPr>
          <w:rFonts w:ascii="宋体" w:hAnsi="宋体" w:eastAsia="宋体"/>
          <w:b/>
          <w:bCs/>
          <w:color w:val="000000" w:themeColor="text1"/>
          <w:sz w:val="24"/>
        </w:rPr>
        <w:t>咨询联系人：</w:t>
      </w:r>
      <w:r>
        <w:rPr>
          <w:rFonts w:hint="eastAsia" w:ascii="宋体" w:hAnsi="宋体" w:eastAsia="宋体"/>
          <w:color w:val="000000" w:themeColor="text1"/>
          <w:sz w:val="24"/>
        </w:rPr>
        <w:t>王</w:t>
      </w:r>
      <w:r>
        <w:rPr>
          <w:rFonts w:ascii="宋体" w:hAnsi="宋体" w:eastAsia="宋体"/>
          <w:color w:val="000000" w:themeColor="text1"/>
          <w:sz w:val="24"/>
        </w:rPr>
        <w:t>老师</w:t>
      </w:r>
      <w:r>
        <w:rPr>
          <w:rFonts w:hint="eastAsia" w:ascii="宋体" w:hAnsi="宋体" w:eastAsia="宋体"/>
          <w:color w:val="000000" w:themeColor="text1"/>
          <w:sz w:val="24"/>
        </w:rPr>
        <w:t>、孙老师；</w:t>
      </w:r>
      <w:r>
        <w:rPr>
          <w:rFonts w:ascii="宋体" w:hAnsi="宋体" w:eastAsia="宋体"/>
          <w:color w:val="000000" w:themeColor="text1"/>
          <w:sz w:val="24"/>
        </w:rPr>
        <w:t>联系方式：</w:t>
      </w:r>
      <w:r>
        <w:rPr>
          <w:rFonts w:hint="eastAsia" w:ascii="宋体" w:hAnsi="宋体" w:eastAsia="宋体"/>
          <w:color w:val="000000" w:themeColor="text1"/>
          <w:sz w:val="24"/>
        </w:rPr>
        <w:t>021-39227275，13621739008</w:t>
      </w:r>
      <w:r>
        <w:rPr>
          <w:rFonts w:ascii="宋体" w:hAnsi="宋体" w:eastAsia="宋体"/>
          <w:color w:val="000000" w:themeColor="text1"/>
          <w:sz w:val="24"/>
        </w:rPr>
        <w:t>。</w:t>
      </w:r>
    </w:p>
    <w:p w14:paraId="08F21F32">
      <w:pPr>
        <w:adjustRightInd w:val="0"/>
        <w:snapToGrid w:val="0"/>
        <w:spacing w:beforeLines="50" w:after="0" w:line="360" w:lineRule="auto"/>
        <w:jc w:val="both"/>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8" w:lineRule="auto"/>
      </w:pPr>
      <w:r>
        <w:separator/>
      </w:r>
    </w:p>
  </w:footnote>
  <w:footnote w:type="continuationSeparator" w:id="1">
    <w:p>
      <w:pPr>
        <w:spacing w:before="0" w:after="0" w:line="278"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E8945CF"/>
    <w:multiLevelType w:val="multilevel"/>
    <w:tmpl w:val="6E8945CF"/>
    <w:lvl w:ilvl="0" w:tentative="0">
      <w:start w:val="1"/>
      <w:numFmt w:val="bullet"/>
      <w:lvlText w:val=""/>
      <w:lvlJc w:val="left"/>
      <w:pPr>
        <w:ind w:left="1009" w:hanging="440"/>
      </w:pPr>
      <w:rPr>
        <w:rFonts w:hint="default" w:ascii="Wingdings" w:hAnsi="Wingdings"/>
      </w:rPr>
    </w:lvl>
    <w:lvl w:ilvl="1" w:tentative="0">
      <w:start w:val="1"/>
      <w:numFmt w:val="bullet"/>
      <w:lvlText w:val=""/>
      <w:lvlJc w:val="left"/>
      <w:pPr>
        <w:ind w:left="1449" w:hanging="440"/>
      </w:pPr>
      <w:rPr>
        <w:rFonts w:hint="default" w:ascii="Wingdings" w:hAnsi="Wingdings"/>
      </w:rPr>
    </w:lvl>
    <w:lvl w:ilvl="2" w:tentative="0">
      <w:start w:val="1"/>
      <w:numFmt w:val="bullet"/>
      <w:lvlText w:val=""/>
      <w:lvlJc w:val="left"/>
      <w:pPr>
        <w:ind w:left="1889" w:hanging="440"/>
      </w:pPr>
      <w:rPr>
        <w:rFonts w:hint="default" w:ascii="Wingdings" w:hAnsi="Wingdings"/>
      </w:rPr>
    </w:lvl>
    <w:lvl w:ilvl="3" w:tentative="0">
      <w:start w:val="1"/>
      <w:numFmt w:val="bullet"/>
      <w:lvlText w:val=""/>
      <w:lvlJc w:val="left"/>
      <w:pPr>
        <w:ind w:left="2329" w:hanging="440"/>
      </w:pPr>
      <w:rPr>
        <w:rFonts w:hint="default" w:ascii="Wingdings" w:hAnsi="Wingdings"/>
      </w:rPr>
    </w:lvl>
    <w:lvl w:ilvl="4" w:tentative="0">
      <w:start w:val="1"/>
      <w:numFmt w:val="bullet"/>
      <w:lvlText w:val=""/>
      <w:lvlJc w:val="left"/>
      <w:pPr>
        <w:ind w:left="2769" w:hanging="440"/>
      </w:pPr>
      <w:rPr>
        <w:rFonts w:hint="default" w:ascii="Wingdings" w:hAnsi="Wingdings"/>
      </w:rPr>
    </w:lvl>
    <w:lvl w:ilvl="5" w:tentative="0">
      <w:start w:val="1"/>
      <w:numFmt w:val="bullet"/>
      <w:lvlText w:val=""/>
      <w:lvlJc w:val="left"/>
      <w:pPr>
        <w:ind w:left="3209" w:hanging="440"/>
      </w:pPr>
      <w:rPr>
        <w:rFonts w:hint="default" w:ascii="Wingdings" w:hAnsi="Wingdings"/>
      </w:rPr>
    </w:lvl>
    <w:lvl w:ilvl="6" w:tentative="0">
      <w:start w:val="1"/>
      <w:numFmt w:val="bullet"/>
      <w:lvlText w:val=""/>
      <w:lvlJc w:val="left"/>
      <w:pPr>
        <w:ind w:left="3649" w:hanging="440"/>
      </w:pPr>
      <w:rPr>
        <w:rFonts w:hint="default" w:ascii="Wingdings" w:hAnsi="Wingdings"/>
      </w:rPr>
    </w:lvl>
    <w:lvl w:ilvl="7" w:tentative="0">
      <w:start w:val="1"/>
      <w:numFmt w:val="bullet"/>
      <w:lvlText w:val=""/>
      <w:lvlJc w:val="left"/>
      <w:pPr>
        <w:ind w:left="4089" w:hanging="440"/>
      </w:pPr>
      <w:rPr>
        <w:rFonts w:hint="default" w:ascii="Wingdings" w:hAnsi="Wingdings"/>
      </w:rPr>
    </w:lvl>
    <w:lvl w:ilvl="8" w:tentative="0">
      <w:start w:val="1"/>
      <w:numFmt w:val="bullet"/>
      <w:lvlText w:val=""/>
      <w:lvlJc w:val="left"/>
      <w:pPr>
        <w:ind w:left="4529" w:hanging="440"/>
      </w:pPr>
      <w:rPr>
        <w:rFonts w:hint="default" w:ascii="Wingdings" w:hAnsi="Wingdings"/>
      </w:rPr>
    </w:lvl>
  </w:abstractNum>
  <w:abstractNum w:abstractNumId="1">
    <w:nsid w:val="71ED5D48"/>
    <w:multiLevelType w:val="multilevel"/>
    <w:tmpl w:val="71ED5D48"/>
    <w:lvl w:ilvl="0" w:tentative="0">
      <w:start w:val="1"/>
      <w:numFmt w:val="decimal"/>
      <w:lvlText w:val="%1."/>
      <w:lvlJc w:val="left"/>
      <w:pPr>
        <w:tabs>
          <w:tab w:val="left" w:pos="720"/>
        </w:tabs>
        <w:ind w:left="720" w:hanging="360"/>
      </w:pPr>
      <w:rPr>
        <w:rFonts w:hint="default" w:ascii="Times New Roman" w:hAnsi="Times New Roman" w:cs="Times New Roman"/>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2">
    <w:nsid w:val="729931A3"/>
    <w:multiLevelType w:val="multilevel"/>
    <w:tmpl w:val="729931A3"/>
    <w:lvl w:ilvl="0" w:tentative="0">
      <w:start w:val="1"/>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3">
    <w:nsid w:val="7A9440CD"/>
    <w:multiLevelType w:val="multilevel"/>
    <w:tmpl w:val="7A9440CD"/>
    <w:lvl w:ilvl="0" w:tentative="0">
      <w:start w:val="1"/>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jU3OGNlYzQzZDU3MTczYmFjNTQzZmFiNjBiZTMxNGEifQ=="/>
  </w:docVars>
  <w:rsids>
    <w:rsidRoot w:val="00855F5C"/>
    <w:rsid w:val="00036B32"/>
    <w:rsid w:val="00170AA5"/>
    <w:rsid w:val="0022425B"/>
    <w:rsid w:val="002F434B"/>
    <w:rsid w:val="003212E5"/>
    <w:rsid w:val="00476BC7"/>
    <w:rsid w:val="004E50EE"/>
    <w:rsid w:val="00693802"/>
    <w:rsid w:val="006A6F9F"/>
    <w:rsid w:val="0076616F"/>
    <w:rsid w:val="00855F5C"/>
    <w:rsid w:val="00863C06"/>
    <w:rsid w:val="00874087"/>
    <w:rsid w:val="008A6B79"/>
    <w:rsid w:val="00AB7070"/>
    <w:rsid w:val="00AC0434"/>
    <w:rsid w:val="00B56C8D"/>
    <w:rsid w:val="00C736EF"/>
    <w:rsid w:val="00CD06B4"/>
    <w:rsid w:val="00DC7C1D"/>
    <w:rsid w:val="00DE6355"/>
    <w:rsid w:val="00E40896"/>
    <w:rsid w:val="00E837F0"/>
    <w:rsid w:val="00E91AFE"/>
    <w:rsid w:val="00EA3FC3"/>
    <w:rsid w:val="00EE17B2"/>
    <w:rsid w:val="00F93BC9"/>
    <w:rsid w:val="03073321"/>
    <w:rsid w:val="03DD7F34"/>
    <w:rsid w:val="09945539"/>
    <w:rsid w:val="0A051F93"/>
    <w:rsid w:val="0A4A5BF8"/>
    <w:rsid w:val="0BD95485"/>
    <w:rsid w:val="12F64B6E"/>
    <w:rsid w:val="242A6378"/>
    <w:rsid w:val="24910D3A"/>
    <w:rsid w:val="2C9F5E1F"/>
    <w:rsid w:val="2F520F27"/>
    <w:rsid w:val="367F6AB9"/>
    <w:rsid w:val="37021484"/>
    <w:rsid w:val="371E43EA"/>
    <w:rsid w:val="37B7226F"/>
    <w:rsid w:val="37F4701F"/>
    <w:rsid w:val="391A2AB5"/>
    <w:rsid w:val="3B11613A"/>
    <w:rsid w:val="3D7D1865"/>
    <w:rsid w:val="45433394"/>
    <w:rsid w:val="47402C86"/>
    <w:rsid w:val="47573126"/>
    <w:rsid w:val="4B6B150A"/>
    <w:rsid w:val="4DC70853"/>
    <w:rsid w:val="516E1798"/>
    <w:rsid w:val="528C45CC"/>
    <w:rsid w:val="53715570"/>
    <w:rsid w:val="553B4087"/>
    <w:rsid w:val="5D9134E5"/>
    <w:rsid w:val="607A4CFB"/>
    <w:rsid w:val="67A00E64"/>
    <w:rsid w:val="7402670E"/>
    <w:rsid w:val="756E14B8"/>
    <w:rsid w:val="78DA30E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78" w:lineRule="auto"/>
    </w:pPr>
    <w:rPr>
      <w:rFonts w:asciiTheme="minorHAnsi" w:hAnsiTheme="minorHAnsi" w:eastAsiaTheme="minorEastAsia" w:cstheme="minorBidi"/>
      <w:kern w:val="2"/>
      <w:sz w:val="22"/>
      <w:szCs w:val="24"/>
      <w:lang w:val="en-US" w:eastAsia="zh-CN" w:bidi="ar-SA"/>
    </w:rPr>
  </w:style>
  <w:style w:type="paragraph" w:styleId="2">
    <w:name w:val="heading 1"/>
    <w:basedOn w:val="1"/>
    <w:next w:val="1"/>
    <w:link w:val="19"/>
    <w:qFormat/>
    <w:uiPriority w:val="9"/>
    <w:pPr>
      <w:keepNext/>
      <w:keepLines/>
      <w:spacing w:before="480" w:after="80"/>
      <w:outlineLvl w:val="0"/>
    </w:pPr>
    <w:rPr>
      <w:rFonts w:asciiTheme="majorHAnsi" w:hAnsiTheme="majorHAnsi" w:eastAsiaTheme="majorEastAsia" w:cstheme="majorBidi"/>
      <w:color w:val="2F5496" w:themeColor="accent1" w:themeShade="BF"/>
      <w:sz w:val="48"/>
      <w:szCs w:val="48"/>
    </w:rPr>
  </w:style>
  <w:style w:type="paragraph" w:styleId="3">
    <w:name w:val="heading 2"/>
    <w:basedOn w:val="1"/>
    <w:next w:val="1"/>
    <w:link w:val="20"/>
    <w:semiHidden/>
    <w:unhideWhenUsed/>
    <w:qFormat/>
    <w:uiPriority w:val="9"/>
    <w:pPr>
      <w:keepNext/>
      <w:keepLines/>
      <w:spacing w:before="160" w:after="80"/>
      <w:outlineLvl w:val="1"/>
    </w:pPr>
    <w:rPr>
      <w:rFonts w:asciiTheme="majorHAnsi" w:hAnsiTheme="majorHAnsi" w:eastAsiaTheme="majorEastAsia" w:cstheme="majorBidi"/>
      <w:color w:val="2F5496" w:themeColor="accent1" w:themeShade="BF"/>
      <w:sz w:val="40"/>
      <w:szCs w:val="40"/>
    </w:rPr>
  </w:style>
  <w:style w:type="paragraph" w:styleId="4">
    <w:name w:val="heading 3"/>
    <w:basedOn w:val="1"/>
    <w:next w:val="1"/>
    <w:link w:val="21"/>
    <w:semiHidden/>
    <w:unhideWhenUsed/>
    <w:qFormat/>
    <w:uiPriority w:val="9"/>
    <w:pPr>
      <w:keepNext/>
      <w:keepLines/>
      <w:spacing w:before="160" w:after="80"/>
      <w:outlineLvl w:val="2"/>
    </w:pPr>
    <w:rPr>
      <w:rFonts w:asciiTheme="majorHAnsi" w:hAnsiTheme="majorHAnsi" w:eastAsiaTheme="majorEastAsia" w:cstheme="majorBidi"/>
      <w:color w:val="2F5496" w:themeColor="accent1" w:themeShade="BF"/>
      <w:sz w:val="32"/>
      <w:szCs w:val="32"/>
    </w:rPr>
  </w:style>
  <w:style w:type="paragraph" w:styleId="5">
    <w:name w:val="heading 4"/>
    <w:basedOn w:val="1"/>
    <w:next w:val="1"/>
    <w:link w:val="22"/>
    <w:semiHidden/>
    <w:unhideWhenUsed/>
    <w:qFormat/>
    <w:uiPriority w:val="9"/>
    <w:pPr>
      <w:keepNext/>
      <w:keepLines/>
      <w:spacing w:before="80" w:after="40"/>
      <w:outlineLvl w:val="3"/>
    </w:pPr>
    <w:rPr>
      <w:rFonts w:cstheme="majorBidi"/>
      <w:color w:val="2F5496" w:themeColor="accent1" w:themeShade="BF"/>
      <w:sz w:val="28"/>
      <w:szCs w:val="28"/>
    </w:rPr>
  </w:style>
  <w:style w:type="paragraph" w:styleId="6">
    <w:name w:val="heading 5"/>
    <w:basedOn w:val="1"/>
    <w:next w:val="1"/>
    <w:link w:val="23"/>
    <w:semiHidden/>
    <w:unhideWhenUsed/>
    <w:qFormat/>
    <w:uiPriority w:val="9"/>
    <w:pPr>
      <w:keepNext/>
      <w:keepLines/>
      <w:spacing w:before="80" w:after="40"/>
      <w:outlineLvl w:val="4"/>
    </w:pPr>
    <w:rPr>
      <w:rFonts w:cstheme="majorBidi"/>
      <w:color w:val="2F5496" w:themeColor="accent1" w:themeShade="BF"/>
      <w:sz w:val="24"/>
    </w:rPr>
  </w:style>
  <w:style w:type="paragraph" w:styleId="7">
    <w:name w:val="heading 6"/>
    <w:basedOn w:val="1"/>
    <w:next w:val="1"/>
    <w:link w:val="24"/>
    <w:semiHidden/>
    <w:unhideWhenUsed/>
    <w:qFormat/>
    <w:uiPriority w:val="9"/>
    <w:pPr>
      <w:keepNext/>
      <w:keepLines/>
      <w:spacing w:before="40" w:after="0"/>
      <w:outlineLvl w:val="5"/>
    </w:pPr>
    <w:rPr>
      <w:rFonts w:cstheme="majorBidi"/>
      <w:b/>
      <w:bCs/>
      <w:color w:val="2F5496" w:themeColor="accent1" w:themeShade="BF"/>
    </w:rPr>
  </w:style>
  <w:style w:type="paragraph" w:styleId="8">
    <w:name w:val="heading 7"/>
    <w:basedOn w:val="1"/>
    <w:next w:val="1"/>
    <w:link w:val="25"/>
    <w:semiHidden/>
    <w:unhideWhenUsed/>
    <w:qFormat/>
    <w:uiPriority w:val="9"/>
    <w:pPr>
      <w:keepNext/>
      <w:keepLines/>
      <w:spacing w:before="40" w:after="0"/>
      <w:outlineLvl w:val="6"/>
    </w:pPr>
    <w:rPr>
      <w:rFonts w:cstheme="majorBidi"/>
      <w:b/>
      <w:bCs/>
      <w:color w:val="585858" w:themeColor="text1" w:themeTint="A6"/>
    </w:rPr>
  </w:style>
  <w:style w:type="paragraph" w:styleId="9">
    <w:name w:val="heading 8"/>
    <w:basedOn w:val="1"/>
    <w:next w:val="1"/>
    <w:link w:val="26"/>
    <w:semiHidden/>
    <w:unhideWhenUsed/>
    <w:qFormat/>
    <w:uiPriority w:val="9"/>
    <w:pPr>
      <w:keepNext/>
      <w:keepLines/>
      <w:spacing w:after="0"/>
      <w:outlineLvl w:val="7"/>
    </w:pPr>
    <w:rPr>
      <w:rFonts w:cstheme="majorBidi"/>
      <w:color w:val="585858" w:themeColor="text1" w:themeTint="A6"/>
    </w:rPr>
  </w:style>
  <w:style w:type="paragraph" w:styleId="10">
    <w:name w:val="heading 9"/>
    <w:basedOn w:val="1"/>
    <w:next w:val="1"/>
    <w:link w:val="27"/>
    <w:semiHidden/>
    <w:unhideWhenUsed/>
    <w:qFormat/>
    <w:uiPriority w:val="9"/>
    <w:pPr>
      <w:keepNext/>
      <w:keepLines/>
      <w:spacing w:after="0"/>
      <w:outlineLvl w:val="8"/>
    </w:pPr>
    <w:rPr>
      <w:rFonts w:eastAsiaTheme="majorEastAsia" w:cstheme="majorBidi"/>
      <w:color w:val="585858" w:themeColor="text1" w:themeTint="A6"/>
    </w:rPr>
  </w:style>
  <w:style w:type="character" w:default="1" w:styleId="17">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11">
    <w:name w:val="footer"/>
    <w:basedOn w:val="1"/>
    <w:link w:val="38"/>
    <w:unhideWhenUsed/>
    <w:qFormat/>
    <w:uiPriority w:val="99"/>
    <w:pPr>
      <w:tabs>
        <w:tab w:val="center" w:pos="4153"/>
        <w:tab w:val="right" w:pos="8306"/>
      </w:tabs>
      <w:snapToGrid w:val="0"/>
      <w:spacing w:line="240" w:lineRule="auto"/>
    </w:pPr>
    <w:rPr>
      <w:sz w:val="18"/>
      <w:szCs w:val="18"/>
    </w:rPr>
  </w:style>
  <w:style w:type="paragraph" w:styleId="12">
    <w:name w:val="header"/>
    <w:basedOn w:val="1"/>
    <w:link w:val="37"/>
    <w:unhideWhenUsed/>
    <w:qFormat/>
    <w:uiPriority w:val="99"/>
    <w:pPr>
      <w:tabs>
        <w:tab w:val="center" w:pos="4153"/>
        <w:tab w:val="right" w:pos="8306"/>
      </w:tabs>
      <w:snapToGrid w:val="0"/>
      <w:spacing w:line="240" w:lineRule="auto"/>
      <w:jc w:val="center"/>
    </w:pPr>
    <w:rPr>
      <w:sz w:val="18"/>
      <w:szCs w:val="18"/>
    </w:rPr>
  </w:style>
  <w:style w:type="paragraph" w:styleId="13">
    <w:name w:val="Subtitle"/>
    <w:basedOn w:val="1"/>
    <w:next w:val="1"/>
    <w:link w:val="29"/>
    <w:qFormat/>
    <w:uiPriority w:val="11"/>
    <w:pPr>
      <w:jc w:val="center"/>
    </w:pPr>
    <w:rPr>
      <w:rFonts w:asciiTheme="majorHAnsi" w:hAnsiTheme="majorHAnsi" w:eastAsiaTheme="majorEastAsia" w:cstheme="majorBidi"/>
      <w:color w:val="585858" w:themeColor="text1" w:themeTint="A6"/>
      <w:spacing w:val="15"/>
      <w:sz w:val="28"/>
      <w:szCs w:val="28"/>
    </w:rPr>
  </w:style>
  <w:style w:type="paragraph" w:styleId="14">
    <w:name w:val="Title"/>
    <w:basedOn w:val="1"/>
    <w:next w:val="1"/>
    <w:link w:val="28"/>
    <w:qFormat/>
    <w:uiPriority w:val="10"/>
    <w:pPr>
      <w:spacing w:after="80" w:line="240" w:lineRule="auto"/>
      <w:contextualSpacing/>
      <w:jc w:val="center"/>
    </w:pPr>
    <w:rPr>
      <w:rFonts w:asciiTheme="majorHAnsi" w:hAnsiTheme="majorHAnsi" w:eastAsiaTheme="majorEastAsia" w:cstheme="majorBidi"/>
      <w:spacing w:val="-10"/>
      <w:kern w:val="28"/>
      <w:sz w:val="56"/>
      <w:szCs w:val="56"/>
    </w:rPr>
  </w:style>
  <w:style w:type="table" w:styleId="16">
    <w:name w:val="Table Grid"/>
    <w:basedOn w:val="15"/>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8">
    <w:name w:val="Strong"/>
    <w:basedOn w:val="17"/>
    <w:qFormat/>
    <w:uiPriority w:val="22"/>
    <w:rPr>
      <w:b/>
      <w:bCs/>
    </w:rPr>
  </w:style>
  <w:style w:type="character" w:customStyle="1" w:styleId="19">
    <w:name w:val="标题 1 Char"/>
    <w:basedOn w:val="17"/>
    <w:link w:val="2"/>
    <w:qFormat/>
    <w:uiPriority w:val="9"/>
    <w:rPr>
      <w:rFonts w:asciiTheme="majorHAnsi" w:hAnsiTheme="majorHAnsi" w:eastAsiaTheme="majorEastAsia" w:cstheme="majorBidi"/>
      <w:color w:val="2F5496" w:themeColor="accent1" w:themeShade="BF"/>
      <w:sz w:val="48"/>
      <w:szCs w:val="48"/>
    </w:rPr>
  </w:style>
  <w:style w:type="character" w:customStyle="1" w:styleId="20">
    <w:name w:val="标题 2 Char"/>
    <w:basedOn w:val="17"/>
    <w:link w:val="3"/>
    <w:semiHidden/>
    <w:qFormat/>
    <w:uiPriority w:val="9"/>
    <w:rPr>
      <w:rFonts w:asciiTheme="majorHAnsi" w:hAnsiTheme="majorHAnsi" w:eastAsiaTheme="majorEastAsia" w:cstheme="majorBidi"/>
      <w:color w:val="2F5496" w:themeColor="accent1" w:themeShade="BF"/>
      <w:sz w:val="40"/>
      <w:szCs w:val="40"/>
    </w:rPr>
  </w:style>
  <w:style w:type="character" w:customStyle="1" w:styleId="21">
    <w:name w:val="标题 3 Char"/>
    <w:basedOn w:val="17"/>
    <w:link w:val="4"/>
    <w:semiHidden/>
    <w:qFormat/>
    <w:uiPriority w:val="9"/>
    <w:rPr>
      <w:rFonts w:asciiTheme="majorHAnsi" w:hAnsiTheme="majorHAnsi" w:eastAsiaTheme="majorEastAsia" w:cstheme="majorBidi"/>
      <w:color w:val="2F5496" w:themeColor="accent1" w:themeShade="BF"/>
      <w:sz w:val="32"/>
      <w:szCs w:val="32"/>
    </w:rPr>
  </w:style>
  <w:style w:type="character" w:customStyle="1" w:styleId="22">
    <w:name w:val="标题 4 Char"/>
    <w:basedOn w:val="17"/>
    <w:link w:val="5"/>
    <w:semiHidden/>
    <w:qFormat/>
    <w:uiPriority w:val="9"/>
    <w:rPr>
      <w:rFonts w:cstheme="majorBidi"/>
      <w:color w:val="2F5496" w:themeColor="accent1" w:themeShade="BF"/>
      <w:sz w:val="28"/>
      <w:szCs w:val="28"/>
    </w:rPr>
  </w:style>
  <w:style w:type="character" w:customStyle="1" w:styleId="23">
    <w:name w:val="标题 5 Char"/>
    <w:basedOn w:val="17"/>
    <w:link w:val="6"/>
    <w:semiHidden/>
    <w:qFormat/>
    <w:uiPriority w:val="9"/>
    <w:rPr>
      <w:rFonts w:cstheme="majorBidi"/>
      <w:color w:val="2F5496" w:themeColor="accent1" w:themeShade="BF"/>
      <w:sz w:val="24"/>
    </w:rPr>
  </w:style>
  <w:style w:type="character" w:customStyle="1" w:styleId="24">
    <w:name w:val="标题 6 Char"/>
    <w:basedOn w:val="17"/>
    <w:link w:val="7"/>
    <w:semiHidden/>
    <w:qFormat/>
    <w:uiPriority w:val="9"/>
    <w:rPr>
      <w:rFonts w:cstheme="majorBidi"/>
      <w:b/>
      <w:bCs/>
      <w:color w:val="2F5496" w:themeColor="accent1" w:themeShade="BF"/>
    </w:rPr>
  </w:style>
  <w:style w:type="character" w:customStyle="1" w:styleId="25">
    <w:name w:val="标题 7 Char"/>
    <w:basedOn w:val="17"/>
    <w:link w:val="8"/>
    <w:semiHidden/>
    <w:qFormat/>
    <w:uiPriority w:val="9"/>
    <w:rPr>
      <w:rFonts w:cstheme="majorBidi"/>
      <w:b/>
      <w:bCs/>
      <w:color w:val="585858" w:themeColor="text1" w:themeTint="A6"/>
    </w:rPr>
  </w:style>
  <w:style w:type="character" w:customStyle="1" w:styleId="26">
    <w:name w:val="标题 8 Char"/>
    <w:basedOn w:val="17"/>
    <w:link w:val="9"/>
    <w:semiHidden/>
    <w:uiPriority w:val="9"/>
    <w:rPr>
      <w:rFonts w:cstheme="majorBidi"/>
      <w:color w:val="585858" w:themeColor="text1" w:themeTint="A6"/>
    </w:rPr>
  </w:style>
  <w:style w:type="character" w:customStyle="1" w:styleId="27">
    <w:name w:val="标题 9 Char"/>
    <w:basedOn w:val="17"/>
    <w:link w:val="10"/>
    <w:semiHidden/>
    <w:uiPriority w:val="9"/>
    <w:rPr>
      <w:rFonts w:eastAsiaTheme="majorEastAsia" w:cstheme="majorBidi"/>
      <w:color w:val="585858" w:themeColor="text1" w:themeTint="A6"/>
    </w:rPr>
  </w:style>
  <w:style w:type="character" w:customStyle="1" w:styleId="28">
    <w:name w:val="标题 Char"/>
    <w:basedOn w:val="17"/>
    <w:link w:val="14"/>
    <w:uiPriority w:val="10"/>
    <w:rPr>
      <w:rFonts w:asciiTheme="majorHAnsi" w:hAnsiTheme="majorHAnsi" w:eastAsiaTheme="majorEastAsia" w:cstheme="majorBidi"/>
      <w:spacing w:val="-10"/>
      <w:kern w:val="28"/>
      <w:sz w:val="56"/>
      <w:szCs w:val="56"/>
    </w:rPr>
  </w:style>
  <w:style w:type="character" w:customStyle="1" w:styleId="29">
    <w:name w:val="副标题 Char"/>
    <w:basedOn w:val="17"/>
    <w:link w:val="13"/>
    <w:qFormat/>
    <w:uiPriority w:val="11"/>
    <w:rPr>
      <w:rFonts w:asciiTheme="majorHAnsi" w:hAnsiTheme="majorHAnsi" w:eastAsiaTheme="majorEastAsia" w:cstheme="majorBidi"/>
      <w:color w:val="585858" w:themeColor="text1" w:themeTint="A6"/>
      <w:spacing w:val="15"/>
      <w:sz w:val="28"/>
      <w:szCs w:val="28"/>
    </w:rPr>
  </w:style>
  <w:style w:type="paragraph" w:styleId="30">
    <w:name w:val="Quote"/>
    <w:basedOn w:val="1"/>
    <w:next w:val="1"/>
    <w:link w:val="31"/>
    <w:qFormat/>
    <w:uiPriority w:val="29"/>
    <w:pPr>
      <w:spacing w:before="160"/>
      <w:jc w:val="center"/>
    </w:pPr>
    <w:rPr>
      <w:i/>
      <w:iCs/>
      <w:color w:val="3F3F3F" w:themeColor="text1" w:themeTint="BF"/>
    </w:rPr>
  </w:style>
  <w:style w:type="character" w:customStyle="1" w:styleId="31">
    <w:name w:val="引用 Char"/>
    <w:basedOn w:val="17"/>
    <w:link w:val="30"/>
    <w:uiPriority w:val="29"/>
    <w:rPr>
      <w:i/>
      <w:iCs/>
      <w:color w:val="3F3F3F" w:themeColor="text1" w:themeTint="BF"/>
    </w:rPr>
  </w:style>
  <w:style w:type="paragraph" w:styleId="32">
    <w:name w:val="List Paragraph"/>
    <w:basedOn w:val="1"/>
    <w:qFormat/>
    <w:uiPriority w:val="34"/>
    <w:pPr>
      <w:ind w:left="720"/>
      <w:contextualSpacing/>
    </w:pPr>
  </w:style>
  <w:style w:type="character" w:customStyle="1" w:styleId="33">
    <w:name w:val="明显强调1"/>
    <w:basedOn w:val="17"/>
    <w:qFormat/>
    <w:uiPriority w:val="21"/>
    <w:rPr>
      <w:i/>
      <w:iCs/>
      <w:color w:val="2F5496" w:themeColor="accent1" w:themeShade="BF"/>
    </w:rPr>
  </w:style>
  <w:style w:type="paragraph" w:styleId="34">
    <w:name w:val="Intense Quote"/>
    <w:basedOn w:val="1"/>
    <w:next w:val="1"/>
    <w:link w:val="35"/>
    <w:qFormat/>
    <w:uiPriority w:val="30"/>
    <w:pPr>
      <w:pBdr>
        <w:top w:val="single" w:color="2F5496" w:themeColor="accent1" w:themeShade="BF" w:sz="4" w:space="10"/>
        <w:bottom w:val="single" w:color="2F5496" w:themeColor="accent1" w:themeShade="BF" w:sz="4" w:space="10"/>
      </w:pBdr>
      <w:spacing w:before="360" w:after="360"/>
      <w:ind w:left="864" w:right="864"/>
      <w:jc w:val="center"/>
    </w:pPr>
    <w:rPr>
      <w:i/>
      <w:iCs/>
      <w:color w:val="2F5496" w:themeColor="accent1" w:themeShade="BF"/>
    </w:rPr>
  </w:style>
  <w:style w:type="character" w:customStyle="1" w:styleId="35">
    <w:name w:val="明显引用 Char"/>
    <w:basedOn w:val="17"/>
    <w:link w:val="34"/>
    <w:uiPriority w:val="30"/>
    <w:rPr>
      <w:i/>
      <w:iCs/>
      <w:color w:val="2F5496" w:themeColor="accent1" w:themeShade="BF"/>
    </w:rPr>
  </w:style>
  <w:style w:type="character" w:customStyle="1" w:styleId="36">
    <w:name w:val="明显参考1"/>
    <w:basedOn w:val="17"/>
    <w:qFormat/>
    <w:uiPriority w:val="32"/>
    <w:rPr>
      <w:b/>
      <w:bCs/>
      <w:smallCaps/>
      <w:color w:val="2F5496" w:themeColor="accent1" w:themeShade="BF"/>
      <w:spacing w:val="5"/>
    </w:rPr>
  </w:style>
  <w:style w:type="character" w:customStyle="1" w:styleId="37">
    <w:name w:val="页眉 Char"/>
    <w:basedOn w:val="17"/>
    <w:link w:val="12"/>
    <w:uiPriority w:val="99"/>
    <w:rPr>
      <w:kern w:val="2"/>
      <w:sz w:val="18"/>
      <w:szCs w:val="18"/>
    </w:rPr>
  </w:style>
  <w:style w:type="character" w:customStyle="1" w:styleId="38">
    <w:name w:val="页脚 Char"/>
    <w:basedOn w:val="17"/>
    <w:link w:val="11"/>
    <w:uiPriority w:val="99"/>
    <w:rPr>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5</Pages>
  <Words>2727</Words>
  <Characters>2811</Characters>
  <Lines>20</Lines>
  <Paragraphs>5</Paragraphs>
  <TotalTime>0</TotalTime>
  <ScaleCrop>false</ScaleCrop>
  <LinksUpToDate>false</LinksUpToDate>
  <CharactersWithSpaces>2835</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2026-04-23T13:13:00Z</dcterms:created>
  <dc:creator>xinyi sun</dc:creator>
  <cp:lastModifiedBy>岸</cp:lastModifiedBy>
  <dcterms:modified xsi:type="dcterms:W3CDTF">2026-04-27T05:30:29Z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eyJoZGlkIjoiYjMwNmU2MWIyN2NiYzE5YzU4ODFmYTdjODliZDVhOGMiLCJ1c2VySWQiOiI1NTM3ODc4NjkifQ==</vt:lpwstr>
  </property>
  <property fmtid="{D5CDD505-2E9C-101B-9397-08002B2CF9AE}" pid="3" name="KSOProductBuildVer">
    <vt:lpwstr>2052-12.1.0.25225</vt:lpwstr>
  </property>
  <property fmtid="{D5CDD505-2E9C-101B-9397-08002B2CF9AE}" pid="4" name="ICV">
    <vt:lpwstr>0D64EAF6C6FB49B4A37CB1CEEFDE4F9F_13</vt:lpwstr>
  </property>
</Properties>
</file>