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0C13E">
      <w:pPr>
        <w:spacing w:line="360" w:lineRule="auto"/>
        <w:jc w:val="center"/>
        <w:rPr>
          <w:rStyle w:val="11"/>
          <w:rFonts w:hint="eastAsia" w:ascii="宋体" w:hAnsi="宋体" w:eastAsia="宋体"/>
          <w:bCs w:val="0"/>
          <w:color w:val="000000" w:themeColor="text1"/>
          <w:sz w:val="32"/>
          <w:szCs w:val="32"/>
          <w14:textFill>
            <w14:solidFill>
              <w14:schemeClr w14:val="tx1"/>
            </w14:solidFill>
          </w14:textFill>
        </w:rPr>
      </w:pPr>
      <w:r>
        <w:rPr>
          <w:rStyle w:val="11"/>
          <w:rFonts w:hint="eastAsia" w:ascii="宋体" w:hAnsi="宋体" w:eastAsia="宋体"/>
          <w:bCs w:val="0"/>
          <w:color w:val="000000" w:themeColor="text1"/>
          <w:sz w:val="32"/>
          <w:szCs w:val="32"/>
          <w14:textFill>
            <w14:solidFill>
              <w14:schemeClr w14:val="tx1"/>
            </w14:solidFill>
          </w14:textFill>
        </w:rPr>
        <w:t>“中华文化与国际传播”微专业招生简章</w:t>
      </w:r>
    </w:p>
    <w:p w14:paraId="41925033">
      <w:pPr>
        <w:spacing w:line="360" w:lineRule="auto"/>
        <w:rPr>
          <w:rStyle w:val="11"/>
          <w:rFonts w:hint="eastAsia" w:ascii="宋体" w:hAnsi="宋体" w:eastAsia="宋体"/>
          <w:color w:val="000000" w:themeColor="text1"/>
          <w:sz w:val="24"/>
          <w:szCs w:val="24"/>
          <w14:textFill>
            <w14:solidFill>
              <w14:schemeClr w14:val="tx1"/>
            </w14:solidFill>
          </w14:textFill>
        </w:rPr>
      </w:pPr>
    </w:p>
    <w:p w14:paraId="251B84ED">
      <w:pPr>
        <w:spacing w:line="360" w:lineRule="auto"/>
        <w:ind w:firstLine="482" w:firstLineChars="200"/>
        <w:rPr>
          <w:rFonts w:hint="eastAsia" w:ascii="宋体" w:hAnsi="宋体" w:eastAsia="宋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一、微专业简介</w:t>
      </w:r>
    </w:p>
    <w:p w14:paraId="48E38940">
      <w:pPr>
        <w:widowControl/>
        <w:spacing w:line="360" w:lineRule="auto"/>
        <w:ind w:firstLine="480" w:firstLineChars="200"/>
        <w:rPr>
          <w:rStyle w:val="11"/>
          <w:rFonts w:hint="eastAsia" w:ascii="宋体" w:hAnsi="宋体" w:eastAsia="宋体"/>
          <w:b w:val="0"/>
          <w:bCs w:val="0"/>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本微专业立足中华优秀传统文化与当代文化成果，融合传播学、跨文化交际、国际关系、茶文化学、国际中文教育等学科知识，旨在培养学生讲好中国故事、传播中国声音的能力。课程注重理论与实践结合，通过案例教学、模拟演练、文化工作坊等形式，提升学生在国际语境中阐释中华文化的综合素养。</w:t>
      </w:r>
      <w:r>
        <w:rPr>
          <w:rFonts w:hint="eastAsia" w:ascii="宋体" w:hAnsi="宋体" w:eastAsia="宋体"/>
          <w:color w:val="000000" w:themeColor="text1"/>
          <w:sz w:val="24"/>
          <w:szCs w:val="24"/>
          <w14:textFill>
            <w14:solidFill>
              <w14:schemeClr w14:val="tx1"/>
            </w14:solidFill>
          </w14:textFill>
        </w:rPr>
        <w:t>在1个学期中，学生将参与不少于2个中华文化国际传播作品的原创设计，至少1个以上为主创。课程具有高强度、高密集性和高实践性的特点。</w:t>
      </w:r>
    </w:p>
    <w:p w14:paraId="180C9C75">
      <w:pPr>
        <w:spacing w:line="360" w:lineRule="auto"/>
        <w:ind w:firstLine="482" w:firstLineChars="200"/>
        <w:rPr>
          <w:rStyle w:val="11"/>
          <w:rFonts w:hint="eastAsia" w:ascii="宋体" w:hAnsi="宋体" w:eastAsia="宋体" w:cs="黑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二、培养目标</w:t>
      </w:r>
    </w:p>
    <w:p w14:paraId="12537BF1">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中华文化与国际传播微专业致力于培养复合型人才，能够适应政府机关、国有企业、事业单位及融媒体等相关岗位的工作需求</w:t>
      </w:r>
      <w:bookmarkStart w:id="0" w:name="_GoBack"/>
      <w:bookmarkEnd w:id="0"/>
      <w:r>
        <w:rPr>
          <w:rFonts w:ascii="宋体" w:hAnsi="宋体" w:eastAsia="宋体"/>
          <w:color w:val="000000" w:themeColor="text1"/>
          <w:sz w:val="24"/>
          <w:szCs w:val="24"/>
          <w14:textFill>
            <w14:solidFill>
              <w14:schemeClr w14:val="tx1"/>
            </w14:solidFill>
          </w14:textFill>
        </w:rPr>
        <w:t>，胜任中华文化推广、国际文化交流、文化创意策划等多个领域的工作任务。通过紧凑而系统的专业学习与实践训练，学生将能够：</w:t>
      </w:r>
    </w:p>
    <w:p w14:paraId="27C69289">
      <w:pPr>
        <w:pStyle w:val="16"/>
        <w:numPr>
          <w:ilvl w:val="0"/>
          <w:numId w:val="1"/>
        </w:numPr>
        <w:spacing w:line="360" w:lineRule="auto"/>
        <w:ind w:firstLineChars="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深入理解中华文化的丰富内涵与核心精神（包括但不限于茶文化、书法、传统艺术等），系统掌握国际传播的基本理论与策略，激发创造力与想象力，鼓励原创性思维和创新实践。</w:t>
      </w:r>
    </w:p>
    <w:p w14:paraId="07F05E46">
      <w:pPr>
        <w:pStyle w:val="16"/>
        <w:numPr>
          <w:ilvl w:val="0"/>
          <w:numId w:val="1"/>
        </w:numPr>
        <w:spacing w:line="360" w:lineRule="auto"/>
        <w:ind w:firstLineChars="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提升艺术鉴赏能力与审美判断力，能够理解、分析并评价不同风格与类型的文化作品（如茶艺表演、茶席设计、书法、传统手工艺等）。</w:t>
      </w:r>
    </w:p>
    <w:p w14:paraId="2B5D685E">
      <w:pPr>
        <w:pStyle w:val="16"/>
        <w:numPr>
          <w:ilvl w:val="0"/>
          <w:numId w:val="1"/>
        </w:numPr>
        <w:spacing w:line="360" w:lineRule="auto"/>
        <w:ind w:firstLineChars="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通过理论教学与实操训练，完整掌握中华文化代表性项目的实践流程（如茶艺表演与茶席设计），熟悉不同国家和地区的文化接受习惯与传播方式。</w:t>
      </w:r>
    </w:p>
    <w:p w14:paraId="397995D2">
      <w:pPr>
        <w:pStyle w:val="16"/>
        <w:numPr>
          <w:ilvl w:val="0"/>
          <w:numId w:val="1"/>
        </w:numPr>
        <w:spacing w:line="360" w:lineRule="auto"/>
        <w:ind w:firstLineChars="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兼具跨文化沟通与文化实操能力，同时适应新媒体环境下的文化传播需求，全面提升专业综合素质与就业竞争力。</w:t>
      </w:r>
    </w:p>
    <w:p w14:paraId="43BF4E6F">
      <w:pPr>
        <w:spacing w:line="360" w:lineRule="auto"/>
        <w:ind w:firstLine="482" w:firstLineChars="200"/>
        <w:rPr>
          <w:rStyle w:val="11"/>
          <w:rFonts w:hint="eastAsia" w:ascii="宋体" w:hAnsi="宋体" w:eastAsia="宋体" w:cs="黑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三、招生对象、报名条件及招生规模</w:t>
      </w:r>
    </w:p>
    <w:p w14:paraId="7E85F235">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（一）招生对象</w:t>
      </w:r>
    </w:p>
    <w:p w14:paraId="755D2288">
      <w:pPr>
        <w:spacing w:line="360" w:lineRule="auto"/>
        <w:ind w:firstLine="480"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本微专业面向上海政法学院2024级、2025级全日制本科生招生。</w:t>
      </w:r>
    </w:p>
    <w:p w14:paraId="1102A223">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（二）报名条件</w:t>
      </w:r>
    </w:p>
    <w:p w14:paraId="2D12CD64">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.在校大一、大二</w:t>
      </w:r>
      <w:r>
        <w:rPr>
          <w:rFonts w:hint="eastAsia" w:ascii="宋体" w:hAnsi="宋体" w:eastAsia="宋体"/>
          <w:color w:val="000000" w:themeColor="text1"/>
          <w:sz w:val="24"/>
          <w:szCs w:val="24"/>
          <w14:textFill>
            <w14:solidFill>
              <w14:schemeClr w14:val="tx1"/>
            </w14:solidFill>
          </w14:textFill>
        </w:rPr>
        <w:t>年级</w:t>
      </w:r>
      <w:r>
        <w:rPr>
          <w:rFonts w:ascii="宋体" w:hAnsi="宋体" w:eastAsia="宋体"/>
          <w:color w:val="000000" w:themeColor="text1"/>
          <w:sz w:val="24"/>
          <w:szCs w:val="24"/>
          <w14:textFill>
            <w14:solidFill>
              <w14:schemeClr w14:val="tx1"/>
            </w14:solidFill>
          </w14:textFill>
        </w:rPr>
        <w:t>对</w:t>
      </w:r>
      <w:r>
        <w:rPr>
          <w:rFonts w:hint="eastAsia" w:ascii="宋体" w:hAnsi="宋体" w:eastAsia="宋体"/>
          <w:color w:val="000000" w:themeColor="text1"/>
          <w:sz w:val="24"/>
          <w:szCs w:val="24"/>
          <w14:textFill>
            <w14:solidFill>
              <w14:schemeClr w14:val="tx1"/>
            </w14:solidFill>
          </w14:textFill>
        </w:rPr>
        <w:t>中华文化与国际传播</w:t>
      </w:r>
      <w:r>
        <w:rPr>
          <w:rFonts w:ascii="宋体" w:hAnsi="宋体" w:eastAsia="宋体"/>
          <w:color w:val="000000" w:themeColor="text1"/>
          <w:sz w:val="24"/>
          <w:szCs w:val="24"/>
          <w14:textFill>
            <w14:solidFill>
              <w14:schemeClr w14:val="tx1"/>
            </w14:solidFill>
          </w14:textFill>
        </w:rPr>
        <w:t>感兴趣的，均可报名。</w:t>
      </w:r>
    </w:p>
    <w:p w14:paraId="5F198138">
      <w:pPr>
        <w:spacing w:line="360" w:lineRule="auto"/>
        <w:ind w:firstLine="480" w:firstLineChars="200"/>
        <w:rPr>
          <w:rFonts w:hint="eastAsia" w:ascii="宋体" w:hAnsi="宋体" w:eastAsia="宋体"/>
          <w:sz w:val="24"/>
          <w:szCs w:val="24"/>
        </w:rPr>
      </w:pPr>
      <w:r>
        <w:rPr>
          <w:rFonts w:ascii="宋体" w:hAnsi="宋体" w:eastAsia="宋体"/>
          <w:color w:val="000000" w:themeColor="text1"/>
          <w:sz w:val="24"/>
          <w:szCs w:val="24"/>
          <w14:textFill>
            <w14:solidFill>
              <w14:schemeClr w14:val="tx1"/>
            </w14:solidFill>
          </w14:textFill>
        </w:rPr>
        <w:t>2.</w:t>
      </w:r>
      <w:r>
        <w:rPr>
          <w:rFonts w:hint="eastAsia" w:ascii="宋体" w:hAnsi="宋体" w:eastAsia="宋体"/>
          <w:sz w:val="24"/>
          <w:szCs w:val="24"/>
        </w:rPr>
        <w:t>热爱中华文化，</w:t>
      </w:r>
      <w:r>
        <w:rPr>
          <w:rFonts w:ascii="宋体" w:hAnsi="宋体" w:eastAsia="宋体"/>
          <w:sz w:val="24"/>
          <w:szCs w:val="24"/>
        </w:rPr>
        <w:t>能够独立思考，具有较强的学习能力和团队合作精神。</w:t>
      </w:r>
    </w:p>
    <w:p w14:paraId="46EBF4F5">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sz w:val="24"/>
          <w:szCs w:val="24"/>
        </w:rPr>
        <w:t>3. 为了确保学生能够顺利学习本微专业的核心内容，建议学生在报名前完成至少一门与中华文化、外语能力提升、传播学相关的课程学习。</w:t>
      </w:r>
    </w:p>
    <w:p w14:paraId="4C4CAA99">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（三）招生规模</w:t>
      </w:r>
    </w:p>
    <w:p w14:paraId="5C9555CD">
      <w:pPr>
        <w:spacing w:line="360" w:lineRule="auto"/>
        <w:ind w:firstLine="480" w:firstLineChars="200"/>
        <w:rPr>
          <w:rStyle w:val="11"/>
          <w:rFonts w:hint="eastAsia" w:ascii="宋体" w:hAnsi="宋体" w:eastAsia="宋体"/>
          <w:b w:val="0"/>
          <w:bCs w:val="0"/>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本微专业本次招生人数为15名，若招生人数低于15人，不予开班教学。</w:t>
      </w:r>
    </w:p>
    <w:p w14:paraId="1D822F9C">
      <w:pPr>
        <w:spacing w:line="360" w:lineRule="auto"/>
        <w:ind w:firstLine="482" w:firstLineChars="200"/>
        <w:rPr>
          <w:rStyle w:val="11"/>
          <w:rFonts w:hint="eastAsia" w:ascii="宋体" w:hAnsi="宋体" w:eastAsia="宋体" w:cs="黑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四、课程设置</w:t>
      </w:r>
    </w:p>
    <w:p w14:paraId="266928DF">
      <w:pPr>
        <w:spacing w:after="156" w:afterLines="50" w:line="360" w:lineRule="auto"/>
        <w:ind w:left="480"/>
        <w:jc w:val="center"/>
        <w:rPr>
          <w:rFonts w:hint="eastAsia"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“中华文化与国际传播”微专业课程设置及教学进程计划表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96"/>
        <w:gridCol w:w="3714"/>
        <w:gridCol w:w="596"/>
        <w:gridCol w:w="596"/>
        <w:gridCol w:w="1854"/>
      </w:tblGrid>
      <w:tr w14:paraId="77C8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0" w:type="auto"/>
            <w:noWrap/>
            <w:vAlign w:val="center"/>
          </w:tcPr>
          <w:p w14:paraId="2B51CB81">
            <w:pPr>
              <w:widowControl/>
              <w:spacing w:line="360" w:lineRule="auto"/>
              <w:jc w:val="center"/>
              <w:rPr>
                <w:rFonts w:hint="eastAsia" w:ascii="宋体" w:hAnsi="宋体" w:eastAsia="宋体"/>
                <w:b/>
                <w:bCs/>
                <w:color w:val="000000" w:themeColor="text1"/>
                <w:kern w:val="0"/>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序号</w:t>
            </w:r>
          </w:p>
        </w:tc>
        <w:tc>
          <w:tcPr>
            <w:tcW w:w="0" w:type="auto"/>
            <w:noWrap/>
            <w:vAlign w:val="center"/>
          </w:tcPr>
          <w:p w14:paraId="7BF8DB31">
            <w:pPr>
              <w:widowControl/>
              <w:spacing w:line="360" w:lineRule="auto"/>
              <w:jc w:val="center"/>
              <w:rPr>
                <w:rFonts w:hint="eastAsia" w:ascii="宋体" w:hAnsi="宋体" w:eastAsia="宋体"/>
                <w:b/>
                <w:bCs/>
                <w:color w:val="000000" w:themeColor="text1"/>
                <w:kern w:val="0"/>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课程名称</w:t>
            </w:r>
          </w:p>
        </w:tc>
        <w:tc>
          <w:tcPr>
            <w:tcW w:w="0" w:type="auto"/>
            <w:noWrap/>
            <w:vAlign w:val="center"/>
          </w:tcPr>
          <w:p w14:paraId="14FDE402">
            <w:pPr>
              <w:widowControl/>
              <w:spacing w:line="360" w:lineRule="auto"/>
              <w:jc w:val="center"/>
              <w:rPr>
                <w:rFonts w:hint="eastAsia" w:ascii="宋体" w:hAnsi="宋体" w:eastAsia="宋体"/>
                <w:b/>
                <w:bCs/>
                <w:color w:val="000000" w:themeColor="text1"/>
                <w:kern w:val="0"/>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学分</w:t>
            </w:r>
          </w:p>
        </w:tc>
        <w:tc>
          <w:tcPr>
            <w:tcW w:w="0" w:type="auto"/>
            <w:noWrap/>
            <w:vAlign w:val="center"/>
          </w:tcPr>
          <w:p w14:paraId="6B20E848">
            <w:pPr>
              <w:widowControl/>
              <w:spacing w:line="360" w:lineRule="auto"/>
              <w:jc w:val="center"/>
              <w:rPr>
                <w:rFonts w:hint="eastAsia" w:ascii="宋体" w:hAnsi="宋体" w:eastAsia="宋体"/>
                <w:b/>
                <w:bCs/>
                <w:color w:val="000000" w:themeColor="text1"/>
                <w:kern w:val="0"/>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学时</w:t>
            </w:r>
          </w:p>
        </w:tc>
        <w:tc>
          <w:tcPr>
            <w:tcW w:w="0" w:type="auto"/>
            <w:noWrap/>
            <w:vAlign w:val="center"/>
          </w:tcPr>
          <w:p w14:paraId="687BFDE7">
            <w:pPr>
              <w:widowControl/>
              <w:spacing w:line="360" w:lineRule="auto"/>
              <w:jc w:val="center"/>
              <w:rPr>
                <w:rFonts w:hint="eastAsia" w:ascii="宋体" w:hAnsi="宋体" w:eastAsia="宋体"/>
                <w:b/>
                <w:bCs/>
                <w:color w:val="000000" w:themeColor="text1"/>
                <w:kern w:val="0"/>
                <w:sz w:val="24"/>
                <w:szCs w:val="24"/>
                <w14:textFill>
                  <w14:solidFill>
                    <w14:schemeClr w14:val="tx1"/>
                  </w14:solidFill>
                </w14:textFill>
              </w:rPr>
            </w:pPr>
            <w:r>
              <w:rPr>
                <w:rFonts w:hint="eastAsia" w:ascii="宋体" w:hAnsi="宋体" w:eastAsia="宋体"/>
                <w:b/>
                <w:bCs/>
                <w:color w:val="000000" w:themeColor="text1"/>
                <w:kern w:val="0"/>
                <w:sz w:val="24"/>
                <w:szCs w:val="24"/>
                <w14:textFill>
                  <w14:solidFill>
                    <w14:schemeClr w14:val="tx1"/>
                  </w14:solidFill>
                </w14:textFill>
              </w:rPr>
              <w:t>开课学期</w:t>
            </w:r>
          </w:p>
        </w:tc>
      </w:tr>
      <w:tr w14:paraId="177B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3" w:hRule="atLeast"/>
          <w:jc w:val="center"/>
        </w:trPr>
        <w:tc>
          <w:tcPr>
            <w:tcW w:w="0" w:type="auto"/>
            <w:noWrap/>
            <w:vAlign w:val="center"/>
          </w:tcPr>
          <w:p w14:paraId="5E5FB6B2">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1</w:t>
            </w:r>
          </w:p>
        </w:tc>
        <w:tc>
          <w:tcPr>
            <w:tcW w:w="0" w:type="auto"/>
            <w:noWrap/>
            <w:vAlign w:val="center"/>
          </w:tcPr>
          <w:p w14:paraId="18F0C3FA">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汉字文化与全球传播</w:t>
            </w:r>
          </w:p>
        </w:tc>
        <w:tc>
          <w:tcPr>
            <w:tcW w:w="0" w:type="auto"/>
            <w:noWrap/>
            <w:vAlign w:val="center"/>
          </w:tcPr>
          <w:p w14:paraId="679B0437">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w:t>
            </w:r>
          </w:p>
        </w:tc>
        <w:tc>
          <w:tcPr>
            <w:tcW w:w="0" w:type="auto"/>
            <w:noWrap/>
            <w:vAlign w:val="center"/>
          </w:tcPr>
          <w:p w14:paraId="40FDAD3D">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30</w:t>
            </w:r>
          </w:p>
        </w:tc>
        <w:tc>
          <w:tcPr>
            <w:tcW w:w="0" w:type="auto"/>
            <w:noWrap/>
            <w:vAlign w:val="center"/>
          </w:tcPr>
          <w:p w14:paraId="5EEBCF48">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2026年夏季学期</w:t>
            </w:r>
          </w:p>
        </w:tc>
      </w:tr>
      <w:tr w14:paraId="5431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0" w:type="auto"/>
            <w:noWrap/>
            <w:vAlign w:val="center"/>
          </w:tcPr>
          <w:p w14:paraId="251B27B0">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w:t>
            </w:r>
          </w:p>
        </w:tc>
        <w:tc>
          <w:tcPr>
            <w:tcW w:w="0" w:type="auto"/>
            <w:noWrap/>
            <w:vAlign w:val="center"/>
          </w:tcPr>
          <w:p w14:paraId="1DCE4409">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国宝文物里的中国书法与国际传播</w:t>
            </w:r>
          </w:p>
        </w:tc>
        <w:tc>
          <w:tcPr>
            <w:tcW w:w="0" w:type="auto"/>
            <w:noWrap/>
            <w:vAlign w:val="center"/>
          </w:tcPr>
          <w:p w14:paraId="0D14D07C">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w:t>
            </w:r>
          </w:p>
        </w:tc>
        <w:tc>
          <w:tcPr>
            <w:tcW w:w="0" w:type="auto"/>
            <w:noWrap/>
            <w:vAlign w:val="center"/>
          </w:tcPr>
          <w:p w14:paraId="728ED5E6">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30</w:t>
            </w:r>
          </w:p>
        </w:tc>
        <w:tc>
          <w:tcPr>
            <w:tcW w:w="0" w:type="auto"/>
            <w:noWrap/>
          </w:tcPr>
          <w:p w14:paraId="6CB0C2E0">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2026年夏季学期</w:t>
            </w:r>
          </w:p>
        </w:tc>
      </w:tr>
      <w:tr w14:paraId="2A11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0" w:type="auto"/>
            <w:noWrap/>
            <w:vAlign w:val="center"/>
          </w:tcPr>
          <w:p w14:paraId="6B37475F">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3</w:t>
            </w:r>
          </w:p>
        </w:tc>
        <w:tc>
          <w:tcPr>
            <w:tcW w:w="0" w:type="auto"/>
            <w:noWrap/>
            <w:vAlign w:val="center"/>
          </w:tcPr>
          <w:p w14:paraId="42B9F9DA">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中国茶文化与全球传播</w:t>
            </w:r>
          </w:p>
        </w:tc>
        <w:tc>
          <w:tcPr>
            <w:tcW w:w="0" w:type="auto"/>
            <w:noWrap/>
            <w:vAlign w:val="center"/>
          </w:tcPr>
          <w:p w14:paraId="73B3013A">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w:t>
            </w:r>
          </w:p>
        </w:tc>
        <w:tc>
          <w:tcPr>
            <w:tcW w:w="0" w:type="auto"/>
            <w:noWrap/>
            <w:vAlign w:val="center"/>
          </w:tcPr>
          <w:p w14:paraId="3542F087">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30</w:t>
            </w:r>
          </w:p>
        </w:tc>
        <w:tc>
          <w:tcPr>
            <w:tcW w:w="0" w:type="auto"/>
            <w:noWrap/>
          </w:tcPr>
          <w:p w14:paraId="64123898">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2026年夏季学期</w:t>
            </w:r>
          </w:p>
        </w:tc>
      </w:tr>
      <w:tr w14:paraId="7725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0" w:type="auto"/>
            <w:noWrap/>
            <w:vAlign w:val="center"/>
          </w:tcPr>
          <w:p w14:paraId="5CEF2DC0">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4</w:t>
            </w:r>
          </w:p>
        </w:tc>
        <w:tc>
          <w:tcPr>
            <w:tcW w:w="0" w:type="auto"/>
            <w:noWrap/>
            <w:vAlign w:val="center"/>
          </w:tcPr>
          <w:p w14:paraId="5EBAF66A">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中华茶礼仪与国际交往</w:t>
            </w:r>
          </w:p>
        </w:tc>
        <w:tc>
          <w:tcPr>
            <w:tcW w:w="0" w:type="auto"/>
            <w:noWrap/>
            <w:vAlign w:val="center"/>
          </w:tcPr>
          <w:p w14:paraId="458C2E47">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w:t>
            </w:r>
          </w:p>
        </w:tc>
        <w:tc>
          <w:tcPr>
            <w:tcW w:w="0" w:type="auto"/>
            <w:noWrap/>
            <w:vAlign w:val="center"/>
          </w:tcPr>
          <w:p w14:paraId="2DD8379B">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30</w:t>
            </w:r>
          </w:p>
        </w:tc>
        <w:tc>
          <w:tcPr>
            <w:tcW w:w="0" w:type="auto"/>
            <w:noWrap/>
            <w:vAlign w:val="center"/>
          </w:tcPr>
          <w:p w14:paraId="5AD9F8AB">
            <w:pPr>
              <w:spacing w:line="360" w:lineRule="auto"/>
              <w:jc w:val="center"/>
              <w:rPr>
                <w:rFonts w:hint="eastAsia" w:ascii="宋体" w:hAnsi="宋体" w:eastAsia="宋体"/>
                <w:color w:val="000000" w:themeColor="text1"/>
                <w:kern w:val="0"/>
                <w:sz w:val="24"/>
                <w:szCs w:val="24"/>
                <w14:textFill>
                  <w14:solidFill>
                    <w14:schemeClr w14:val="tx1"/>
                  </w14:solidFill>
                </w14:textFill>
              </w:rPr>
            </w:pPr>
            <w:r>
              <w:rPr>
                <w:rFonts w:hint="eastAsia" w:ascii="宋体" w:hAnsi="宋体" w:eastAsia="宋体"/>
                <w:color w:val="000000" w:themeColor="text1"/>
                <w:kern w:val="0"/>
                <w:sz w:val="24"/>
                <w:szCs w:val="24"/>
                <w14:textFill>
                  <w14:solidFill>
                    <w14:schemeClr w14:val="tx1"/>
                  </w14:solidFill>
                </w14:textFill>
              </w:rPr>
              <w:t>2026年夏季学期</w:t>
            </w:r>
          </w:p>
        </w:tc>
      </w:tr>
    </w:tbl>
    <w:p w14:paraId="288CFEB1">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p>
    <w:p w14:paraId="11A2A093">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附：课程简介：</w:t>
      </w:r>
    </w:p>
    <w:p w14:paraId="09C3C926">
      <w:pPr>
        <w:spacing w:line="360" w:lineRule="auto"/>
        <w:ind w:firstLine="470" w:firstLineChars="196"/>
        <w:rPr>
          <w:rFonts w:hint="eastAsia" w:ascii="宋体" w:hAnsi="宋体" w:eastAsia="宋体"/>
          <w:sz w:val="24"/>
          <w:szCs w:val="24"/>
        </w:rPr>
      </w:pPr>
      <w:r>
        <w:rPr>
          <w:rFonts w:hint="eastAsia" w:ascii="宋体" w:hAnsi="宋体" w:eastAsia="宋体"/>
          <w:sz w:val="24"/>
          <w:szCs w:val="24"/>
        </w:rPr>
        <w:t>本课程学完且成绩合格，将获得行业专业机构颁发的能力等级资格证书。</w:t>
      </w:r>
    </w:p>
    <w:p w14:paraId="1E6465A4">
      <w:pPr>
        <w:numPr>
          <w:ilvl w:val="0"/>
          <w:numId w:val="2"/>
        </w:numPr>
        <w:spacing w:line="360" w:lineRule="auto"/>
        <w:rPr>
          <w:rFonts w:hint="eastAsia" w:ascii="宋体" w:hAnsi="宋体" w:eastAsia="宋体"/>
          <w:b/>
          <w:sz w:val="24"/>
        </w:rPr>
      </w:pPr>
      <w:r>
        <w:rPr>
          <w:rFonts w:hint="eastAsia" w:ascii="宋体" w:hAnsi="宋体" w:eastAsia="宋体"/>
          <w:b/>
          <w:sz w:val="24"/>
        </w:rPr>
        <w:t>《</w:t>
      </w:r>
      <w:r>
        <w:rPr>
          <w:rFonts w:ascii="宋体" w:hAnsi="宋体" w:eastAsia="宋体"/>
          <w:b/>
          <w:sz w:val="24"/>
        </w:rPr>
        <w:t>汉字文化与全球传播</w:t>
      </w:r>
      <w:r>
        <w:rPr>
          <w:rFonts w:hint="eastAsia" w:ascii="宋体" w:hAnsi="宋体" w:eastAsia="宋体"/>
          <w:b/>
          <w:sz w:val="24"/>
        </w:rPr>
        <w:t>》课程</w:t>
      </w:r>
    </w:p>
    <w:p w14:paraId="6D235E6C">
      <w:pPr>
        <w:spacing w:line="360" w:lineRule="auto"/>
        <w:ind w:firstLine="480"/>
        <w:rPr>
          <w:rFonts w:hint="eastAsia" w:ascii="宋体" w:hAnsi="宋体" w:eastAsia="宋体"/>
          <w:bCs/>
          <w:sz w:val="24"/>
        </w:rPr>
      </w:pPr>
      <w:r>
        <w:rPr>
          <w:rFonts w:hint="eastAsia" w:ascii="宋体" w:hAnsi="宋体" w:eastAsia="宋体"/>
          <w:bCs/>
          <w:sz w:val="24"/>
        </w:rPr>
        <w:t>该课程以汉字为切入点，系统讲授汉字的起源、演变、构形理据及文化内涵，并重点探讨汉字作为中华文化核心符号与载体在全球传播中的路径、困境与创新推广策略。课程内容包括：甲骨文到简体字的历史脉络、汉字与中华思维方式的关联、汉字在东亚文化圈的影响以及当代汉字数字化传播。</w:t>
      </w:r>
    </w:p>
    <w:p w14:paraId="5A117A05">
      <w:pPr>
        <w:spacing w:line="360" w:lineRule="auto"/>
        <w:ind w:firstLine="480"/>
        <w:rPr>
          <w:rFonts w:hint="eastAsia" w:ascii="宋体" w:hAnsi="宋体" w:eastAsia="宋体"/>
          <w:bCs/>
          <w:sz w:val="24"/>
          <w:highlight w:val="yellow"/>
        </w:rPr>
      </w:pPr>
      <w:r>
        <w:rPr>
          <w:rFonts w:hint="eastAsia" w:ascii="宋体" w:hAnsi="宋体" w:eastAsia="宋体"/>
          <w:bCs/>
          <w:sz w:val="24"/>
        </w:rPr>
        <w:t>教学方法采用理论讲解与案例分析相结合，辅以汉字创意工作坊、博物馆现场教学等实践环节，帮助学生深入理解汉字所承载的文化密码，掌握运用汉字元素进行跨文化叙事与传播的基本能力，能够设计面向国际受众的汉字文化传播方案，为讲好中国故事提供独特的符号资源。</w:t>
      </w:r>
    </w:p>
    <w:p w14:paraId="1974B3BF">
      <w:pPr>
        <w:spacing w:line="360" w:lineRule="auto"/>
        <w:ind w:firstLine="472" w:firstLineChars="196"/>
        <w:rPr>
          <w:rFonts w:hint="eastAsia" w:ascii="宋体" w:hAnsi="宋体" w:eastAsia="宋体"/>
          <w:b/>
          <w:sz w:val="24"/>
        </w:rPr>
      </w:pPr>
      <w:r>
        <w:rPr>
          <w:rFonts w:hint="eastAsia" w:ascii="宋体" w:hAnsi="宋体" w:eastAsia="宋体"/>
          <w:b/>
          <w:sz w:val="24"/>
        </w:rPr>
        <w:t>2.</w:t>
      </w:r>
      <w:r>
        <w:rPr>
          <w:rFonts w:hint="eastAsia" w:ascii="宋体" w:hAnsi="宋体" w:eastAsia="宋体"/>
        </w:rPr>
        <w:t xml:space="preserve"> </w:t>
      </w:r>
      <w:r>
        <w:rPr>
          <w:rFonts w:hint="eastAsia" w:ascii="宋体" w:hAnsi="宋体" w:eastAsia="宋体"/>
          <w:b/>
          <w:sz w:val="24"/>
        </w:rPr>
        <w:t>《国宝文物里的中国书法与国际传播》课程</w:t>
      </w:r>
    </w:p>
    <w:p w14:paraId="2D207570">
      <w:pPr>
        <w:spacing w:line="360" w:lineRule="auto"/>
        <w:ind w:firstLine="480"/>
        <w:rPr>
          <w:rFonts w:hint="eastAsia" w:ascii="宋体" w:hAnsi="宋体" w:eastAsia="宋体"/>
          <w:bCs/>
          <w:sz w:val="24"/>
        </w:rPr>
      </w:pPr>
      <w:r>
        <w:rPr>
          <w:rFonts w:hint="eastAsia" w:ascii="宋体" w:hAnsi="宋体" w:eastAsia="宋体"/>
          <w:bCs/>
          <w:sz w:val="24"/>
        </w:rPr>
        <w:t>该课程是一门立足中华优秀传统文化传承与国际传播能力培养的微专业课程。课程以国宝文物为切入点，突破传统书法课程以书体演进或历史分期为主线的讲授模式，采用文物学分类体系作为教学主干，按照器物类、书画类、文献类、史迹类与传播实践五大模块展开系统教学，重点解析不同文物类别中所承载的中国书法表现形式、文字演化轨迹、审美精神与文化认同逻辑，引导学生从文物书写中理解中华文明的历史连续性与价值内涵。</w:t>
      </w:r>
    </w:p>
    <w:p w14:paraId="5146155D">
      <w:pPr>
        <w:spacing w:line="360" w:lineRule="auto"/>
        <w:ind w:firstLine="480"/>
        <w:rPr>
          <w:rFonts w:hint="eastAsia" w:ascii="宋体" w:hAnsi="宋体" w:eastAsia="宋体"/>
          <w:bCs/>
          <w:sz w:val="24"/>
        </w:rPr>
      </w:pPr>
      <w:r>
        <w:rPr>
          <w:rFonts w:hint="eastAsia" w:ascii="宋体" w:hAnsi="宋体" w:eastAsia="宋体"/>
          <w:bCs/>
          <w:sz w:val="24"/>
        </w:rPr>
        <w:t>课程融合书法学、文物学、语言文字学与国际传播等相关知识，注重案例分析、文化阐释与传播实践相结合，通过专题研讨与传播方案设计，培养学生运用外语讲述中国书法故事、阐释文物文化意义、开展跨文化传播表达的能力。通过本课程学习，学生能够提升文化理解力、审美鉴赏力、跨文化表达力与国际传播实践能力，进一步增强文化自信与全球视野。</w:t>
      </w:r>
    </w:p>
    <w:p w14:paraId="28DDEF89">
      <w:pPr>
        <w:spacing w:line="360" w:lineRule="auto"/>
        <w:ind w:firstLine="472" w:firstLineChars="196"/>
        <w:rPr>
          <w:rFonts w:hint="eastAsia" w:ascii="宋体" w:hAnsi="宋体" w:eastAsia="宋体"/>
          <w:b/>
          <w:sz w:val="24"/>
        </w:rPr>
      </w:pPr>
      <w:r>
        <w:rPr>
          <w:rFonts w:hint="eastAsia" w:ascii="宋体" w:hAnsi="宋体" w:eastAsia="宋体"/>
          <w:b/>
          <w:sz w:val="24"/>
        </w:rPr>
        <w:t>3.《</w:t>
      </w:r>
      <w:r>
        <w:rPr>
          <w:rFonts w:ascii="宋体" w:hAnsi="宋体" w:eastAsia="宋体"/>
          <w:b/>
          <w:sz w:val="24"/>
        </w:rPr>
        <w:t>中国茶文化与全球传播</w:t>
      </w:r>
      <w:r>
        <w:rPr>
          <w:rFonts w:hint="eastAsia" w:ascii="宋体" w:hAnsi="宋体" w:eastAsia="宋体"/>
          <w:b/>
          <w:sz w:val="24"/>
        </w:rPr>
        <w:t>》课程</w:t>
      </w:r>
    </w:p>
    <w:p w14:paraId="653B2EE9">
      <w:pPr>
        <w:spacing w:line="360" w:lineRule="auto"/>
        <w:ind w:firstLine="470" w:firstLineChars="196"/>
        <w:rPr>
          <w:rFonts w:hint="eastAsia" w:ascii="宋体" w:hAnsi="宋体" w:eastAsia="宋体"/>
          <w:bCs/>
          <w:sz w:val="24"/>
        </w:rPr>
      </w:pPr>
      <w:r>
        <w:rPr>
          <w:rFonts w:ascii="宋体" w:hAnsi="宋体" w:eastAsia="宋体"/>
          <w:bCs/>
          <w:sz w:val="24"/>
        </w:rPr>
        <w:t>本课程系统讲授中国茶文化的历史脉络、思想内涵及在全球范围内的传播历程。课程内容包括：茶的起源与历代饮茶方式、茶道精神（和敬清寂）与中国哲学、</w:t>
      </w:r>
      <w:r>
        <w:rPr>
          <w:rFonts w:hint="eastAsia" w:ascii="宋体" w:hAnsi="宋体" w:eastAsia="宋体"/>
          <w:bCs/>
          <w:sz w:val="24"/>
        </w:rPr>
        <w:t>六</w:t>
      </w:r>
      <w:r>
        <w:rPr>
          <w:rFonts w:ascii="宋体" w:hAnsi="宋体" w:eastAsia="宋体"/>
          <w:bCs/>
          <w:sz w:val="24"/>
        </w:rPr>
        <w:t>茶类品鉴与茶器美学、</w:t>
      </w:r>
      <w:r>
        <w:rPr>
          <w:rFonts w:hint="eastAsia" w:ascii="宋体" w:hAnsi="宋体" w:eastAsia="宋体"/>
          <w:bCs/>
          <w:sz w:val="24"/>
        </w:rPr>
        <w:t>陆羽及其所著《茶经》的主要内容及国际传播、茶文化节庆与国际茶日、习近平“三茶统筹”理论及其国际传播、</w:t>
      </w:r>
      <w:r>
        <w:rPr>
          <w:rFonts w:ascii="宋体" w:hAnsi="宋体" w:eastAsia="宋体"/>
          <w:bCs/>
          <w:sz w:val="24"/>
        </w:rPr>
        <w:t>茶马古道</w:t>
      </w:r>
      <w:r>
        <w:rPr>
          <w:rFonts w:hint="eastAsia" w:ascii="宋体" w:hAnsi="宋体" w:eastAsia="宋体"/>
          <w:bCs/>
          <w:sz w:val="24"/>
        </w:rPr>
        <w:t>、茶船古道及其国际传播</w:t>
      </w:r>
      <w:r>
        <w:rPr>
          <w:rFonts w:ascii="宋体" w:hAnsi="宋体" w:eastAsia="宋体"/>
          <w:bCs/>
          <w:sz w:val="24"/>
        </w:rPr>
        <w:t>、</w:t>
      </w:r>
      <w:r>
        <w:rPr>
          <w:rFonts w:hint="eastAsia" w:ascii="宋体" w:hAnsi="宋体" w:eastAsia="宋体"/>
          <w:bCs/>
          <w:sz w:val="24"/>
        </w:rPr>
        <w:t>中蒙俄万里茶道的联合申遗项目、中国茶文化典籍导读、外译及国际传播、茶文化外语短视频出海</w:t>
      </w:r>
      <w:r>
        <w:rPr>
          <w:rFonts w:ascii="宋体" w:hAnsi="宋体" w:eastAsia="宋体"/>
          <w:bCs/>
          <w:sz w:val="24"/>
        </w:rPr>
        <w:t>及当代茶文化在“一带一路”沿线国家的传播案例。</w:t>
      </w:r>
    </w:p>
    <w:p w14:paraId="2A83A02D">
      <w:pPr>
        <w:spacing w:line="360" w:lineRule="auto"/>
        <w:ind w:firstLine="470" w:firstLineChars="196"/>
        <w:rPr>
          <w:rFonts w:hint="eastAsia" w:ascii="宋体" w:hAnsi="宋体" w:eastAsia="宋体"/>
          <w:bCs/>
          <w:sz w:val="24"/>
        </w:rPr>
      </w:pPr>
      <w:r>
        <w:rPr>
          <w:rFonts w:ascii="宋体" w:hAnsi="宋体" w:eastAsia="宋体"/>
          <w:bCs/>
          <w:sz w:val="24"/>
        </w:rPr>
        <w:t>教学方法采用理论讲授、茶艺演示、实地考察（如茶</w:t>
      </w:r>
      <w:r>
        <w:rPr>
          <w:rFonts w:hint="eastAsia" w:ascii="宋体" w:hAnsi="宋体" w:eastAsia="宋体"/>
          <w:bCs/>
          <w:sz w:val="24"/>
        </w:rPr>
        <w:t>文化</w:t>
      </w:r>
      <w:r>
        <w:rPr>
          <w:rFonts w:ascii="宋体" w:hAnsi="宋体" w:eastAsia="宋体"/>
          <w:bCs/>
          <w:sz w:val="24"/>
        </w:rPr>
        <w:t>博物馆或茶空间）与传播方案设计相结合，重点训练学生用外语讲述中国茶故事的能力。通过本课程，学生将理解茶文化作为中华文明重要符号的全球影响力，掌握</w:t>
      </w:r>
      <w:r>
        <w:rPr>
          <w:rFonts w:hint="eastAsia" w:ascii="宋体" w:hAnsi="宋体" w:eastAsia="宋体"/>
          <w:bCs/>
          <w:sz w:val="24"/>
        </w:rPr>
        <w:t>中国</w:t>
      </w:r>
      <w:r>
        <w:rPr>
          <w:rFonts w:ascii="宋体" w:hAnsi="宋体" w:eastAsia="宋体"/>
          <w:bCs/>
          <w:sz w:val="24"/>
        </w:rPr>
        <w:t>茶文化传播的基本策略，能够策划面向不同文化背景受众的茶文化体验活动或数字内容，推动中国茶从“物质产品”向“文化IP”的转化。</w:t>
      </w:r>
    </w:p>
    <w:p w14:paraId="435B533D">
      <w:pPr>
        <w:spacing w:line="360" w:lineRule="auto"/>
        <w:ind w:firstLine="472" w:firstLineChars="196"/>
        <w:rPr>
          <w:rFonts w:hint="eastAsia" w:ascii="宋体" w:hAnsi="宋体" w:eastAsia="宋体"/>
          <w:b/>
          <w:sz w:val="24"/>
        </w:rPr>
      </w:pPr>
      <w:r>
        <w:rPr>
          <w:rFonts w:hint="eastAsia" w:ascii="宋体" w:hAnsi="宋体" w:eastAsia="宋体"/>
          <w:b/>
          <w:sz w:val="24"/>
        </w:rPr>
        <w:t>4.《</w:t>
      </w:r>
      <w:r>
        <w:rPr>
          <w:rFonts w:ascii="宋体" w:hAnsi="宋体" w:eastAsia="宋体"/>
          <w:b/>
          <w:sz w:val="24"/>
        </w:rPr>
        <w:t>中华茶礼仪与国际交往</w:t>
      </w:r>
      <w:r>
        <w:rPr>
          <w:rFonts w:hint="eastAsia" w:ascii="宋体" w:hAnsi="宋体" w:eastAsia="宋体"/>
          <w:b/>
          <w:sz w:val="24"/>
        </w:rPr>
        <w:t>》课程</w:t>
      </w:r>
    </w:p>
    <w:p w14:paraId="21951604">
      <w:pPr>
        <w:spacing w:line="360" w:lineRule="auto"/>
        <w:ind w:firstLine="480"/>
        <w:rPr>
          <w:rFonts w:hint="eastAsia" w:ascii="宋体" w:hAnsi="宋体" w:eastAsia="宋体"/>
          <w:bCs/>
          <w:sz w:val="24"/>
        </w:rPr>
      </w:pPr>
      <w:r>
        <w:rPr>
          <w:rFonts w:hint="eastAsia" w:ascii="宋体" w:hAnsi="宋体" w:eastAsia="宋体"/>
          <w:bCs/>
          <w:sz w:val="24"/>
        </w:rPr>
        <w:t>本课程聚焦中华茶礼仪在人际交往</w:t>
      </w:r>
      <w:r>
        <w:rPr>
          <w:rFonts w:ascii="宋体" w:hAnsi="宋体" w:eastAsia="宋体"/>
          <w:bCs/>
          <w:sz w:val="24"/>
        </w:rPr>
        <w:t>与国际场合中的应用，是一门理论与实践并重的实操性课程。课程内容包括：中国传统茶礼规范（待客、奉茶、品饮等）、不同茶类的冲泡礼仪、涉外茶会场景中的礼节与跨文化适应、中外茶礼比较（如日本茶道、英式下午茶），以及在国际会议、文化交流活动中设计并执行茶礼环节的方法。</w:t>
      </w:r>
    </w:p>
    <w:p w14:paraId="6F7A5C89">
      <w:pPr>
        <w:spacing w:line="360" w:lineRule="auto"/>
        <w:ind w:firstLine="480"/>
        <w:rPr>
          <w:rFonts w:hint="eastAsia" w:ascii="宋体" w:hAnsi="宋体" w:eastAsia="宋体"/>
          <w:bCs/>
          <w:sz w:val="24"/>
        </w:rPr>
      </w:pPr>
      <w:r>
        <w:rPr>
          <w:rFonts w:ascii="宋体" w:hAnsi="宋体" w:eastAsia="宋体"/>
          <w:bCs/>
          <w:sz w:val="24"/>
        </w:rPr>
        <w:t>教学方法采用情景模拟、角色扮演、涉外茶会实训等形式，结合视频案例分析与错误纠偏，强化学生的行为礼仪与应变能力。通过本课程，学生能够熟练掌握中华茶礼仪的基本流程与规范，具备在国际交往中得体展示茶礼、解说茶文化、并尊重对方茶俗的能力，成为以茶为媒促进中外人文交流的文化使者。</w:t>
      </w:r>
    </w:p>
    <w:p w14:paraId="67B6E288">
      <w:pPr>
        <w:spacing w:line="360" w:lineRule="auto"/>
        <w:ind w:firstLine="470" w:firstLineChars="196"/>
        <w:rPr>
          <w:rFonts w:hint="eastAsia" w:ascii="宋体" w:hAnsi="宋体" w:eastAsia="宋体"/>
          <w:color w:val="000000" w:themeColor="text1"/>
          <w:sz w:val="24"/>
          <w:szCs w:val="24"/>
          <w14:textFill>
            <w14:solidFill>
              <w14:schemeClr w14:val="tx1"/>
            </w14:solidFill>
          </w14:textFill>
        </w:rPr>
      </w:pPr>
    </w:p>
    <w:p w14:paraId="48B4A1DE">
      <w:pPr>
        <w:pStyle w:val="16"/>
        <w:numPr>
          <w:ilvl w:val="0"/>
          <w:numId w:val="3"/>
        </w:numPr>
        <w:spacing w:line="360" w:lineRule="auto"/>
        <w:ind w:firstLineChars="0"/>
        <w:rPr>
          <w:rStyle w:val="11"/>
          <w:rFonts w:hint="eastAsia" w:ascii="宋体" w:hAnsi="宋体" w:eastAsia="宋体" w:cs="黑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师资力量</w:t>
      </w:r>
    </w:p>
    <w:p w14:paraId="4E3319A9">
      <w:pPr>
        <w:spacing w:line="360" w:lineRule="auto"/>
        <w:ind w:firstLine="482" w:firstLineChars="200"/>
        <w:rPr>
          <w:rStyle w:val="11"/>
          <w:rFonts w:hint="eastAsia" w:ascii="宋体" w:hAnsi="宋体" w:eastAsia="宋体"/>
          <w:color w:val="000000" w:themeColor="text1"/>
          <w:sz w:val="24"/>
          <w:szCs w:val="24"/>
          <w14:textFill>
            <w14:solidFill>
              <w14:schemeClr w14:val="tx1"/>
            </w14:solidFill>
          </w14:textFill>
        </w:rPr>
      </w:pPr>
      <w:r>
        <w:rPr>
          <w:rStyle w:val="11"/>
          <w:rFonts w:hint="eastAsia" w:ascii="宋体" w:hAnsi="宋体" w:eastAsia="宋体"/>
          <w:color w:val="000000" w:themeColor="text1"/>
          <w:sz w:val="24"/>
          <w:szCs w:val="24"/>
          <w14:textFill>
            <w14:solidFill>
              <w14:schemeClr w14:val="tx1"/>
            </w14:solidFill>
          </w14:textFill>
        </w:rPr>
        <w:t>1. 孙   颖</w:t>
      </w:r>
    </w:p>
    <w:p w14:paraId="11911FF1">
      <w:pPr>
        <w:spacing w:line="360" w:lineRule="auto"/>
        <w:ind w:firstLine="480" w:firstLineChars="200"/>
        <w:rPr>
          <w:rStyle w:val="11"/>
          <w:rFonts w:hint="eastAsia" w:ascii="宋体" w:hAnsi="宋体" w:eastAsia="宋体"/>
          <w:b w:val="0"/>
          <w:bCs w:val="0"/>
          <w:color w:val="000000" w:themeColor="text1"/>
          <w:sz w:val="24"/>
          <w:szCs w:val="24"/>
          <w14:textFill>
            <w14:solidFill>
              <w14:schemeClr w14:val="tx1"/>
            </w14:solidFill>
          </w14:textFill>
        </w:rPr>
      </w:pPr>
      <w:r>
        <w:rPr>
          <w:rStyle w:val="11"/>
          <w:rFonts w:hint="eastAsia" w:ascii="宋体" w:hAnsi="宋体" w:eastAsia="宋体"/>
          <w:b w:val="0"/>
          <w:bCs w:val="0"/>
          <w:color w:val="000000" w:themeColor="text1"/>
          <w:sz w:val="24"/>
          <w:szCs w:val="24"/>
          <w14:textFill>
            <w14:solidFill>
              <w14:schemeClr w14:val="tx1"/>
            </w14:solidFill>
          </w14:textFill>
        </w:rPr>
        <w:t>上海政法学院讲师，历史学硕士。主讲《汉字思维》《汉字里的中国文化》等通识课，兼任上海青少年博物馆课堂主讲老师。参编《新版小学语文字词通解》。</w:t>
      </w:r>
    </w:p>
    <w:p w14:paraId="5FF118B0">
      <w:pPr>
        <w:spacing w:line="360" w:lineRule="auto"/>
        <w:ind w:firstLine="482" w:firstLineChars="200"/>
        <w:rPr>
          <w:rStyle w:val="11"/>
          <w:rFonts w:hint="eastAsia" w:ascii="宋体" w:hAnsi="宋体" w:eastAsia="宋体"/>
          <w:color w:val="000000" w:themeColor="text1"/>
          <w:sz w:val="24"/>
          <w:szCs w:val="24"/>
          <w14:textFill>
            <w14:solidFill>
              <w14:schemeClr w14:val="tx1"/>
            </w14:solidFill>
          </w14:textFill>
        </w:rPr>
      </w:pPr>
      <w:r>
        <w:rPr>
          <w:rStyle w:val="11"/>
          <w:rFonts w:hint="eastAsia" w:ascii="宋体" w:hAnsi="宋体" w:eastAsia="宋体"/>
          <w:color w:val="000000" w:themeColor="text1"/>
          <w:sz w:val="24"/>
          <w:szCs w:val="24"/>
          <w14:textFill>
            <w14:solidFill>
              <w14:schemeClr w14:val="tx1"/>
            </w14:solidFill>
          </w14:textFill>
        </w:rPr>
        <w:t>2. 刘   亮</w:t>
      </w:r>
    </w:p>
    <w:p w14:paraId="01939525">
      <w:pPr>
        <w:spacing w:line="360" w:lineRule="auto"/>
        <w:ind w:firstLine="480" w:firstLineChars="200"/>
        <w:rPr>
          <w:rStyle w:val="11"/>
          <w:rFonts w:hint="eastAsia" w:ascii="宋体" w:hAnsi="宋体" w:eastAsia="宋体"/>
          <w:b w:val="0"/>
          <w:bCs w:val="0"/>
          <w:color w:val="000000" w:themeColor="text1"/>
          <w:sz w:val="24"/>
          <w:szCs w:val="24"/>
          <w14:textFill>
            <w14:solidFill>
              <w14:schemeClr w14:val="tx1"/>
            </w14:solidFill>
          </w14:textFill>
        </w:rPr>
      </w:pPr>
      <w:r>
        <w:rPr>
          <w:rStyle w:val="11"/>
          <w:rFonts w:hint="eastAsia" w:ascii="宋体" w:hAnsi="宋体" w:eastAsia="宋体"/>
          <w:b w:val="0"/>
          <w:bCs w:val="0"/>
          <w:color w:val="000000" w:themeColor="text1"/>
          <w:sz w:val="24"/>
          <w:szCs w:val="24"/>
          <w14:textFill>
            <w14:solidFill>
              <w14:schemeClr w14:val="tx1"/>
            </w14:solidFill>
          </w14:textFill>
        </w:rPr>
        <w:t>上海政法学院语言文化学院讲师，博士研究生。长期从事文化语言学、书法文化、国际中文教育与中华文化传播等领域的教学与研究，具有较强的跨学科教学与课程建设能力。近年来持续开设《诗词与书法艺术》等通识课程，以及面向留学生的《中国书法》《汉字的起源与演变》等课程，积累了较为丰富的中华文化类课程教学经验。其教学与研究注重将书法文化、汉字文明、文物阐释与跨文化传播有机结合，积极探索案例教学、专题研讨、项目展示与课程思政融合的教学路径，能够较好地引导学生提升文化理解、审美鉴赏与国际表达能力。依托多年书法文化课程建设经验与跨文化教学实践，具备承担《国宝文物里的中国书法与国际传播》课程教学任务的专业基础与教学胜任力。</w:t>
      </w:r>
    </w:p>
    <w:p w14:paraId="2C471BC6">
      <w:pPr>
        <w:spacing w:line="360" w:lineRule="auto"/>
        <w:ind w:firstLine="482" w:firstLineChars="200"/>
        <w:rPr>
          <w:rStyle w:val="11"/>
          <w:rFonts w:ascii="Times New Roman" w:hAnsi="Times New Roman" w:eastAsia="宋体" w:cs="Times New Roman"/>
          <w:color w:val="000000" w:themeColor="text1"/>
          <w:sz w:val="24"/>
          <w:szCs w:val="24"/>
          <w14:textFill>
            <w14:solidFill>
              <w14:schemeClr w14:val="tx1"/>
            </w14:solidFill>
          </w14:textFill>
        </w:rPr>
      </w:pPr>
      <w:r>
        <w:rPr>
          <w:rStyle w:val="11"/>
          <w:rFonts w:hint="eastAsia" w:ascii="宋体" w:hAnsi="宋体" w:eastAsia="宋体"/>
          <w:color w:val="000000" w:themeColor="text1"/>
          <w:sz w:val="24"/>
          <w:szCs w:val="24"/>
          <w14:textFill>
            <w14:solidFill>
              <w14:schemeClr w14:val="tx1"/>
            </w14:solidFill>
          </w14:textFill>
        </w:rPr>
        <w:t>3</w:t>
      </w:r>
      <w:r>
        <w:rPr>
          <w:rStyle w:val="11"/>
          <w:rFonts w:hint="eastAsia" w:ascii="宋体" w:hAnsi="宋体" w:eastAsia="宋体"/>
          <w:b w:val="0"/>
          <w:bCs w:val="0"/>
          <w:color w:val="000000" w:themeColor="text1"/>
          <w:sz w:val="24"/>
          <w:szCs w:val="24"/>
          <w14:textFill>
            <w14:solidFill>
              <w14:schemeClr w14:val="tx1"/>
            </w14:solidFill>
          </w14:textFill>
        </w:rPr>
        <w:t>．</w:t>
      </w:r>
      <w:r>
        <w:rPr>
          <w:rStyle w:val="11"/>
          <w:rFonts w:hint="eastAsia" w:ascii="Times New Roman" w:hAnsi="Times New Roman" w:eastAsia="宋体" w:cs="Times New Roman"/>
          <w:color w:val="000000" w:themeColor="text1"/>
          <w:sz w:val="24"/>
          <w:szCs w:val="24"/>
          <w14:textFill>
            <w14:solidFill>
              <w14:schemeClr w14:val="tx1"/>
            </w14:solidFill>
          </w14:textFill>
        </w:rPr>
        <w:t>张晓玲</w:t>
      </w:r>
    </w:p>
    <w:p w14:paraId="0FE89936">
      <w:pPr>
        <w:spacing w:line="360" w:lineRule="auto"/>
        <w:ind w:firstLine="480" w:firstLineChars="200"/>
        <w:rPr>
          <w:rStyle w:val="11"/>
          <w:rFonts w:ascii="Times New Roman" w:hAnsi="Times New Roman" w:eastAsia="宋体" w:cs="Times New Roman"/>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上海政法学院语言文化学院副教授，博士研究生。长期从事中华茶文化历史与国际传播研究，现任上海政法学院语言文化学院国际茶文化研究中心主任、上海市茶叶学会国际交流工作委员会副主任。系中国国际茶文化研究会会员，国家高级茶艺师、中级评茶员。连续多年为来华留学生开设《中国茶文化概论》《中华才艺（实践课）》等通识课程，茶文化教学与国际传播实践经验丰富。</w:t>
      </w:r>
    </w:p>
    <w:p w14:paraId="2F244352">
      <w:pPr>
        <w:spacing w:line="360" w:lineRule="auto"/>
        <w:ind w:firstLine="482" w:firstLineChars="200"/>
        <w:rPr>
          <w:rStyle w:val="11"/>
          <w:rFonts w:hint="eastAsia" w:ascii="宋体" w:hAnsi="宋体" w:eastAsia="宋体"/>
          <w:b w:val="0"/>
          <w:bCs w:val="0"/>
          <w:color w:val="000000" w:themeColor="text1"/>
          <w:sz w:val="24"/>
          <w:szCs w:val="24"/>
          <w14:textFill>
            <w14:solidFill>
              <w14:schemeClr w14:val="tx1"/>
            </w14:solidFill>
          </w14:textFill>
        </w:rPr>
      </w:pPr>
      <w:r>
        <w:rPr>
          <w:rStyle w:val="11"/>
          <w:rFonts w:hint="eastAsia" w:ascii="Times New Roman" w:hAnsi="Times New Roman" w:eastAsia="宋体" w:cs="Times New Roman"/>
          <w:color w:val="000000" w:themeColor="text1"/>
          <w:sz w:val="24"/>
          <w:szCs w:val="24"/>
          <w14:textFill>
            <w14:solidFill>
              <w14:schemeClr w14:val="tx1"/>
            </w14:solidFill>
          </w14:textFill>
        </w:rPr>
        <w:t>4. 方   茵</w:t>
      </w:r>
    </w:p>
    <w:p w14:paraId="5D2BFAAC">
      <w:pPr>
        <w:spacing w:line="360" w:lineRule="auto"/>
        <w:ind w:firstLine="480" w:firstLineChars="200"/>
        <w:rPr>
          <w:rStyle w:val="11"/>
          <w:rFonts w:hint="eastAsia" w:ascii="宋体" w:hAnsi="宋体" w:eastAsia="宋体"/>
          <w:b w:val="0"/>
          <w:bCs w:val="0"/>
          <w:color w:val="000000" w:themeColor="text1"/>
          <w:sz w:val="24"/>
          <w:szCs w:val="24"/>
          <w14:textFill>
            <w14:solidFill>
              <w14:schemeClr w14:val="tx1"/>
            </w14:solidFill>
          </w14:textFill>
        </w:rPr>
      </w:pPr>
      <w:r>
        <w:rPr>
          <w:rStyle w:val="11"/>
          <w:rFonts w:hint="eastAsia" w:ascii="宋体" w:hAnsi="宋体" w:eastAsia="宋体"/>
          <w:b w:val="0"/>
          <w:bCs w:val="0"/>
          <w:color w:val="000000" w:themeColor="text1"/>
          <w:sz w:val="24"/>
          <w:szCs w:val="24"/>
          <w14:textFill>
            <w14:solidFill>
              <w14:schemeClr w14:val="tx1"/>
            </w14:solidFill>
          </w14:textFill>
        </w:rPr>
        <w:t>上海市茶叶学会副理事长兼秘书长，国家高级茶艺师、评茶员。常年从事中国茶艺教学及青年茶人培养工作。上海政法学院语言文化学院茶文化实习、实践导师。</w:t>
      </w:r>
    </w:p>
    <w:p w14:paraId="0979E006">
      <w:pPr>
        <w:pStyle w:val="16"/>
        <w:numPr>
          <w:ilvl w:val="0"/>
          <w:numId w:val="1"/>
        </w:numPr>
        <w:spacing w:line="360" w:lineRule="auto"/>
        <w:ind w:firstLineChars="0"/>
        <w:rPr>
          <w:rStyle w:val="11"/>
          <w:rFonts w:hint="eastAsia" w:ascii="宋体" w:hAnsi="宋体" w:eastAsia="宋体"/>
          <w:color w:val="000000" w:themeColor="text1"/>
          <w:sz w:val="24"/>
          <w:szCs w:val="24"/>
          <w14:textFill>
            <w14:solidFill>
              <w14:schemeClr w14:val="tx1"/>
            </w14:solidFill>
          </w14:textFill>
        </w:rPr>
      </w:pPr>
      <w:r>
        <w:rPr>
          <w:rStyle w:val="11"/>
          <w:rFonts w:hint="eastAsia" w:ascii="宋体" w:hAnsi="宋体" w:eastAsia="宋体"/>
          <w:color w:val="000000" w:themeColor="text1"/>
          <w:sz w:val="24"/>
          <w:szCs w:val="24"/>
          <w14:textFill>
            <w14:solidFill>
              <w14:schemeClr w14:val="tx1"/>
            </w14:solidFill>
          </w14:textFill>
        </w:rPr>
        <w:t>李玉华</w:t>
      </w:r>
    </w:p>
    <w:p w14:paraId="231C5F6F">
      <w:pPr>
        <w:pStyle w:val="16"/>
        <w:spacing w:line="360" w:lineRule="auto"/>
        <w:ind w:left="560" w:firstLine="0" w:firstLineChars="0"/>
        <w:rPr>
          <w:rStyle w:val="11"/>
          <w:rFonts w:hint="eastAsia" w:ascii="宋体" w:hAnsi="宋体" w:eastAsia="宋体"/>
          <w:b w:val="0"/>
          <w:bCs w:val="0"/>
          <w:color w:val="000000" w:themeColor="text1"/>
          <w:sz w:val="24"/>
          <w:szCs w:val="24"/>
          <w14:textFill>
            <w14:solidFill>
              <w14:schemeClr w14:val="tx1"/>
            </w14:solidFill>
          </w14:textFill>
        </w:rPr>
      </w:pPr>
      <w:r>
        <w:rPr>
          <w:rStyle w:val="11"/>
          <w:rFonts w:hint="eastAsia" w:ascii="宋体" w:hAnsi="宋体" w:eastAsia="宋体"/>
          <w:b w:val="0"/>
          <w:bCs w:val="0"/>
          <w:color w:val="000000" w:themeColor="text1"/>
          <w:sz w:val="24"/>
          <w:szCs w:val="24"/>
          <w14:textFill>
            <w14:solidFill>
              <w14:schemeClr w14:val="tx1"/>
            </w14:solidFill>
          </w14:textFill>
        </w:rPr>
        <w:t>赤壁青砖茶国际体验馆主理人、沪鄂茶事创始人、国家高级茶艺师。</w:t>
      </w:r>
    </w:p>
    <w:p w14:paraId="1A8D6A4F">
      <w:pPr>
        <w:pStyle w:val="16"/>
        <w:spacing w:line="360" w:lineRule="auto"/>
        <w:ind w:left="560" w:firstLine="0" w:firstLineChars="0"/>
        <w:rPr>
          <w:rStyle w:val="11"/>
          <w:rFonts w:hint="eastAsia" w:ascii="宋体" w:hAnsi="宋体" w:eastAsia="宋体"/>
          <w:b w:val="0"/>
          <w:bCs w:val="0"/>
          <w:color w:val="000000" w:themeColor="text1"/>
          <w:sz w:val="24"/>
          <w:szCs w:val="24"/>
          <w14:textFill>
            <w14:solidFill>
              <w14:schemeClr w14:val="tx1"/>
            </w14:solidFill>
          </w14:textFill>
        </w:rPr>
      </w:pPr>
    </w:p>
    <w:p w14:paraId="095136EE">
      <w:pPr>
        <w:spacing w:line="360" w:lineRule="auto"/>
        <w:ind w:firstLine="482" w:firstLineChars="200"/>
        <w:rPr>
          <w:rStyle w:val="11"/>
          <w:rFonts w:hint="eastAsia" w:ascii="宋体" w:hAnsi="宋体" w:eastAsia="宋体" w:cs="黑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六、学制及证书</w:t>
      </w:r>
    </w:p>
    <w:p w14:paraId="2DDB4167">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本微专业修读年限为1个学期（夏季学期）。完成全部课程修满学分的同学可获得上海政法学院与上海市茶叶学会共同盖章颁发的“中华文化与国际传播”微专业结业证书。</w:t>
      </w:r>
      <w:r>
        <w:rPr>
          <w:rFonts w:ascii="宋体" w:hAnsi="宋体" w:eastAsia="宋体"/>
          <w:color w:val="000000" w:themeColor="text1"/>
          <w:sz w:val="24"/>
          <w:szCs w:val="24"/>
          <w14:textFill>
            <w14:solidFill>
              <w14:schemeClr w14:val="tx1"/>
            </w14:solidFill>
          </w14:textFill>
        </w:rPr>
        <w:t>微专业不具有学士学位授予资格，不进行国家统一的学历电子注册。</w:t>
      </w:r>
    </w:p>
    <w:p w14:paraId="27463D40">
      <w:pPr>
        <w:spacing w:line="360" w:lineRule="auto"/>
        <w:ind w:firstLine="480" w:firstLineChars="200"/>
        <w:rPr>
          <w:rStyle w:val="11"/>
          <w:rFonts w:hint="eastAsia" w:ascii="宋体" w:hAnsi="宋体" w:eastAsia="宋体"/>
          <w:b w:val="0"/>
          <w:bCs w:val="0"/>
          <w:color w:val="000000" w:themeColor="text1"/>
          <w:sz w:val="24"/>
          <w:szCs w:val="24"/>
          <w14:textFill>
            <w14:solidFill>
              <w14:schemeClr w14:val="tx1"/>
            </w14:solidFill>
          </w14:textFill>
        </w:rPr>
      </w:pPr>
    </w:p>
    <w:p w14:paraId="3865E10B">
      <w:pPr>
        <w:spacing w:line="360" w:lineRule="auto"/>
        <w:ind w:firstLine="482" w:firstLineChars="200"/>
        <w:rPr>
          <w:rStyle w:val="11"/>
          <w:rFonts w:hint="eastAsia" w:ascii="宋体" w:hAnsi="宋体" w:eastAsia="宋体" w:cs="黑体"/>
          <w:color w:val="000000" w:themeColor="text1"/>
          <w:sz w:val="24"/>
          <w:szCs w:val="24"/>
          <w14:textFill>
            <w14:solidFill>
              <w14:schemeClr w14:val="tx1"/>
            </w14:solidFill>
          </w14:textFill>
        </w:rPr>
      </w:pPr>
      <w:r>
        <w:rPr>
          <w:rStyle w:val="11"/>
          <w:rFonts w:hint="eastAsia" w:ascii="宋体" w:hAnsi="宋体" w:eastAsia="宋体" w:cs="黑体"/>
          <w:color w:val="000000" w:themeColor="text1"/>
          <w:sz w:val="24"/>
          <w:szCs w:val="24"/>
          <w14:textFill>
            <w14:solidFill>
              <w14:schemeClr w14:val="tx1"/>
            </w14:solidFill>
          </w14:textFill>
        </w:rPr>
        <w:t>七、报名时间与办法</w:t>
      </w:r>
    </w:p>
    <w:p w14:paraId="37772E13">
      <w:pPr>
        <w:spacing w:line="360" w:lineRule="auto"/>
        <w:ind w:firstLine="482" w:firstLineChars="200"/>
        <w:rPr>
          <w:rFonts w:hint="eastAsia" w:ascii="宋体" w:hAnsi="宋体" w:eastAsia="宋体"/>
          <w:b w:val="0"/>
          <w:bCs/>
          <w:color w:val="000000" w:themeColor="text1"/>
          <w:sz w:val="24"/>
          <w:szCs w:val="24"/>
          <w:lang w:eastAsia="zh-CN"/>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报名截止时间：</w:t>
      </w:r>
      <w:r>
        <w:rPr>
          <w:rFonts w:hint="eastAsia" w:ascii="宋体" w:hAnsi="宋体" w:eastAsia="宋体"/>
          <w:b w:val="0"/>
          <w:bCs/>
          <w:color w:val="000000" w:themeColor="text1"/>
          <w:sz w:val="24"/>
          <w:szCs w:val="24"/>
          <w14:textFill>
            <w14:solidFill>
              <w14:schemeClr w14:val="tx1"/>
            </w14:solidFill>
          </w14:textFill>
        </w:rPr>
        <w:t>2026年5月12日（星期二）</w:t>
      </w:r>
      <w:r>
        <w:rPr>
          <w:rFonts w:hint="eastAsia" w:ascii="宋体" w:hAnsi="宋体" w:eastAsia="宋体"/>
          <w:b w:val="0"/>
          <w:bCs/>
          <w:color w:val="000000" w:themeColor="text1"/>
          <w:sz w:val="24"/>
          <w:szCs w:val="24"/>
          <w:lang w:eastAsia="zh-CN"/>
          <w14:textFill>
            <w14:solidFill>
              <w14:schemeClr w14:val="tx1"/>
            </w14:solidFill>
          </w14:textFill>
        </w:rPr>
        <w:t>。</w:t>
      </w:r>
    </w:p>
    <w:p w14:paraId="7076B986">
      <w:pPr>
        <w:spacing w:line="360" w:lineRule="auto"/>
        <w:ind w:firstLine="482" w:firstLineChars="200"/>
        <w:rPr>
          <w:rFonts w:hint="eastAsia" w:ascii="宋体" w:hAnsi="宋体" w:eastAsia="宋体"/>
          <w:color w:val="4D4D4D"/>
          <w:sz w:val="24"/>
          <w:szCs w:val="24"/>
        </w:rPr>
      </w:pPr>
      <w:r>
        <w:rPr>
          <w:rFonts w:hint="eastAsia" w:ascii="宋体" w:hAnsi="宋体" w:eastAsia="宋体"/>
          <w:b/>
          <w:color w:val="000000" w:themeColor="text1"/>
          <w:sz w:val="24"/>
          <w:szCs w:val="24"/>
          <w14:textFill>
            <w14:solidFill>
              <w14:schemeClr w14:val="tx1"/>
            </w14:solidFill>
          </w14:textFill>
        </w:rPr>
        <w:t>报名办法：</w:t>
      </w:r>
      <w:r>
        <w:rPr>
          <w:rFonts w:hint="eastAsia" w:ascii="宋体" w:hAnsi="宋体" w:eastAsia="宋体"/>
          <w:color w:val="000000" w:themeColor="text1"/>
          <w:sz w:val="24"/>
          <w:szCs w:val="24"/>
          <w14:textFill>
            <w14:solidFill>
              <w14:schemeClr w14:val="tx1"/>
            </w14:solidFill>
          </w14:textFill>
        </w:rPr>
        <w:t>请符合报名条件的同学将《上海政法学院本科生修读微专业申请表》及本人成绩单纸质版提交至语言文化学院A1-206办公室，同时将电子版发送到zhangzhongyan@shupl.edu.cn。</w:t>
      </w:r>
    </w:p>
    <w:p w14:paraId="722F68E3">
      <w:pPr>
        <w:spacing w:line="360" w:lineRule="auto"/>
        <w:ind w:firstLine="482"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b/>
          <w:color w:val="4D4D4D"/>
          <w:sz w:val="24"/>
          <w:szCs w:val="24"/>
        </w:rPr>
        <w:t>咨询联系人：</w:t>
      </w:r>
      <w:r>
        <w:rPr>
          <w:rFonts w:hint="eastAsia" w:ascii="宋体" w:hAnsi="宋体" w:eastAsia="宋体"/>
          <w:color w:val="4D4D4D"/>
          <w:sz w:val="24"/>
          <w:szCs w:val="24"/>
        </w:rPr>
        <w:t>张老师；联系方式：021-39227117。</w:t>
      </w:r>
    </w:p>
    <w:p w14:paraId="12B33EB0">
      <w:pPr>
        <w:spacing w:line="360" w:lineRule="auto"/>
        <w:rPr>
          <w:rFonts w:hint="eastAsia" w:ascii="宋体" w:hAnsi="宋体" w:eastAsia="宋体"/>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759610"/>
    </w:sdtPr>
    <w:sdtContent>
      <w:sdt>
        <w:sdtPr>
          <w:id w:val="171357217"/>
        </w:sdtPr>
        <w:sdtContent>
          <w:p w14:paraId="009C1E80">
            <w:pPr>
              <w:pStyle w:val="4"/>
              <w:jc w:val="center"/>
              <w:rPr>
                <w:rFonts w:hint="eastAsia"/>
              </w:rP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04ABF10">
    <w:pPr>
      <w:pStyle w:val="4"/>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781DF4"/>
    <w:multiLevelType w:val="multilevel"/>
    <w:tmpl w:val="1A781DF4"/>
    <w:lvl w:ilvl="0" w:tentative="0">
      <w:start w:val="1"/>
      <w:numFmt w:val="decimal"/>
      <w:lvlText w:val="%1."/>
      <w:lvlJc w:val="left"/>
      <w:pPr>
        <w:ind w:left="560" w:hanging="360"/>
      </w:pPr>
      <w:rPr>
        <w:rFonts w:hint="default"/>
      </w:rPr>
    </w:lvl>
    <w:lvl w:ilvl="1" w:tentative="0">
      <w:start w:val="1"/>
      <w:numFmt w:val="lowerLetter"/>
      <w:lvlText w:val="%2)"/>
      <w:lvlJc w:val="left"/>
      <w:pPr>
        <w:ind w:left="1080" w:hanging="440"/>
      </w:pPr>
    </w:lvl>
    <w:lvl w:ilvl="2" w:tentative="0">
      <w:start w:val="1"/>
      <w:numFmt w:val="lowerRoman"/>
      <w:lvlText w:val="%3."/>
      <w:lvlJc w:val="right"/>
      <w:pPr>
        <w:ind w:left="1520" w:hanging="440"/>
      </w:pPr>
    </w:lvl>
    <w:lvl w:ilvl="3" w:tentative="0">
      <w:start w:val="1"/>
      <w:numFmt w:val="decimal"/>
      <w:lvlText w:val="%4."/>
      <w:lvlJc w:val="left"/>
      <w:pPr>
        <w:ind w:left="1960" w:hanging="440"/>
      </w:pPr>
    </w:lvl>
    <w:lvl w:ilvl="4" w:tentative="0">
      <w:start w:val="1"/>
      <w:numFmt w:val="lowerLetter"/>
      <w:lvlText w:val="%5)"/>
      <w:lvlJc w:val="left"/>
      <w:pPr>
        <w:ind w:left="2400" w:hanging="440"/>
      </w:pPr>
    </w:lvl>
    <w:lvl w:ilvl="5" w:tentative="0">
      <w:start w:val="1"/>
      <w:numFmt w:val="lowerRoman"/>
      <w:lvlText w:val="%6."/>
      <w:lvlJc w:val="right"/>
      <w:pPr>
        <w:ind w:left="2840" w:hanging="440"/>
      </w:pPr>
    </w:lvl>
    <w:lvl w:ilvl="6" w:tentative="0">
      <w:start w:val="1"/>
      <w:numFmt w:val="decimal"/>
      <w:lvlText w:val="%7."/>
      <w:lvlJc w:val="left"/>
      <w:pPr>
        <w:ind w:left="3280" w:hanging="440"/>
      </w:pPr>
    </w:lvl>
    <w:lvl w:ilvl="7" w:tentative="0">
      <w:start w:val="1"/>
      <w:numFmt w:val="lowerLetter"/>
      <w:lvlText w:val="%8)"/>
      <w:lvlJc w:val="left"/>
      <w:pPr>
        <w:ind w:left="3720" w:hanging="440"/>
      </w:pPr>
    </w:lvl>
    <w:lvl w:ilvl="8" w:tentative="0">
      <w:start w:val="1"/>
      <w:numFmt w:val="lowerRoman"/>
      <w:lvlText w:val="%9."/>
      <w:lvlJc w:val="right"/>
      <w:pPr>
        <w:ind w:left="4160" w:hanging="440"/>
      </w:pPr>
    </w:lvl>
  </w:abstractNum>
  <w:abstractNum w:abstractNumId="1">
    <w:nsid w:val="2A217B79"/>
    <w:multiLevelType w:val="multilevel"/>
    <w:tmpl w:val="2A217B79"/>
    <w:lvl w:ilvl="0" w:tentative="0">
      <w:start w:val="5"/>
      <w:numFmt w:val="japaneseCounting"/>
      <w:lvlText w:val="%1、"/>
      <w:lvlJc w:val="left"/>
      <w:pPr>
        <w:ind w:left="1202" w:hanging="720"/>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2">
    <w:nsid w:val="6C122A4F"/>
    <w:multiLevelType w:val="multilevel"/>
    <w:tmpl w:val="6C122A4F"/>
    <w:lvl w:ilvl="0" w:tentative="0">
      <w:start w:val="1"/>
      <w:numFmt w:val="decimal"/>
      <w:lvlText w:val="%1."/>
      <w:lvlJc w:val="left"/>
      <w:pPr>
        <w:ind w:left="827" w:hanging="405"/>
      </w:pPr>
      <w:rPr>
        <w:rFonts w:hint="default" w:ascii="Times New Roman" w:hAnsi="Times New Roman" w:eastAsia="宋体" w:cs="Times New Roman"/>
        <w:sz w:val="28"/>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U3OGNlYzQzZDU3MTczYmFjNTQzZmFiNjBiZTMxNGEifQ=="/>
  </w:docVars>
  <w:rsids>
    <w:rsidRoot w:val="00D6042A"/>
    <w:rsid w:val="00042450"/>
    <w:rsid w:val="00045FF3"/>
    <w:rsid w:val="000A439B"/>
    <w:rsid w:val="000C1A00"/>
    <w:rsid w:val="000D1884"/>
    <w:rsid w:val="00100404"/>
    <w:rsid w:val="00124B60"/>
    <w:rsid w:val="0015632D"/>
    <w:rsid w:val="001717FE"/>
    <w:rsid w:val="00174DA6"/>
    <w:rsid w:val="001756BB"/>
    <w:rsid w:val="00184E45"/>
    <w:rsid w:val="001A53C2"/>
    <w:rsid w:val="001B3CE8"/>
    <w:rsid w:val="001B3FF4"/>
    <w:rsid w:val="001D2869"/>
    <w:rsid w:val="001E5BFE"/>
    <w:rsid w:val="001F16B7"/>
    <w:rsid w:val="00206BF7"/>
    <w:rsid w:val="0022446C"/>
    <w:rsid w:val="002646A5"/>
    <w:rsid w:val="00277EA3"/>
    <w:rsid w:val="002B60F4"/>
    <w:rsid w:val="002C004A"/>
    <w:rsid w:val="002D18D4"/>
    <w:rsid w:val="002D5AF7"/>
    <w:rsid w:val="00314911"/>
    <w:rsid w:val="00321F30"/>
    <w:rsid w:val="0036058F"/>
    <w:rsid w:val="00364F4F"/>
    <w:rsid w:val="003850E7"/>
    <w:rsid w:val="0039021B"/>
    <w:rsid w:val="003950AD"/>
    <w:rsid w:val="003D58B2"/>
    <w:rsid w:val="003E777B"/>
    <w:rsid w:val="003F2288"/>
    <w:rsid w:val="00400F8C"/>
    <w:rsid w:val="00466C03"/>
    <w:rsid w:val="00472DBA"/>
    <w:rsid w:val="00484146"/>
    <w:rsid w:val="00484FDD"/>
    <w:rsid w:val="004A7969"/>
    <w:rsid w:val="004B36DF"/>
    <w:rsid w:val="004C6B71"/>
    <w:rsid w:val="004D7DBC"/>
    <w:rsid w:val="004F6FA7"/>
    <w:rsid w:val="00500795"/>
    <w:rsid w:val="00507192"/>
    <w:rsid w:val="00522053"/>
    <w:rsid w:val="005264EF"/>
    <w:rsid w:val="00547347"/>
    <w:rsid w:val="00551157"/>
    <w:rsid w:val="005551C7"/>
    <w:rsid w:val="00555491"/>
    <w:rsid w:val="00571450"/>
    <w:rsid w:val="00584C13"/>
    <w:rsid w:val="005B2DF7"/>
    <w:rsid w:val="005C1C1A"/>
    <w:rsid w:val="005D29E0"/>
    <w:rsid w:val="005D6EEC"/>
    <w:rsid w:val="005F42DB"/>
    <w:rsid w:val="006531F2"/>
    <w:rsid w:val="006645DF"/>
    <w:rsid w:val="00671F8D"/>
    <w:rsid w:val="0069262A"/>
    <w:rsid w:val="00693139"/>
    <w:rsid w:val="00696DDA"/>
    <w:rsid w:val="006A3BCD"/>
    <w:rsid w:val="006A5178"/>
    <w:rsid w:val="006E4171"/>
    <w:rsid w:val="006F27F7"/>
    <w:rsid w:val="00705121"/>
    <w:rsid w:val="00707B89"/>
    <w:rsid w:val="007135D4"/>
    <w:rsid w:val="007140E9"/>
    <w:rsid w:val="00717C63"/>
    <w:rsid w:val="007271D4"/>
    <w:rsid w:val="00733CAE"/>
    <w:rsid w:val="00734296"/>
    <w:rsid w:val="007370DC"/>
    <w:rsid w:val="00747371"/>
    <w:rsid w:val="007529D9"/>
    <w:rsid w:val="007B4B0C"/>
    <w:rsid w:val="007B7FCC"/>
    <w:rsid w:val="007D0A0E"/>
    <w:rsid w:val="007D77CC"/>
    <w:rsid w:val="007F0CCE"/>
    <w:rsid w:val="00820AF1"/>
    <w:rsid w:val="00831DA9"/>
    <w:rsid w:val="00850E52"/>
    <w:rsid w:val="00861BE1"/>
    <w:rsid w:val="008646EF"/>
    <w:rsid w:val="00875A30"/>
    <w:rsid w:val="00897B58"/>
    <w:rsid w:val="008A4C39"/>
    <w:rsid w:val="008B42A9"/>
    <w:rsid w:val="008D3BDB"/>
    <w:rsid w:val="008D3E29"/>
    <w:rsid w:val="008D70D6"/>
    <w:rsid w:val="008E5C65"/>
    <w:rsid w:val="0090134D"/>
    <w:rsid w:val="0090295D"/>
    <w:rsid w:val="00904C61"/>
    <w:rsid w:val="009079DE"/>
    <w:rsid w:val="00924AA7"/>
    <w:rsid w:val="00927D63"/>
    <w:rsid w:val="00931915"/>
    <w:rsid w:val="00981B93"/>
    <w:rsid w:val="00987BCF"/>
    <w:rsid w:val="00987E04"/>
    <w:rsid w:val="009B3317"/>
    <w:rsid w:val="009D2462"/>
    <w:rsid w:val="009E5B77"/>
    <w:rsid w:val="009E5CE0"/>
    <w:rsid w:val="00A45DDC"/>
    <w:rsid w:val="00A653CA"/>
    <w:rsid w:val="00A878CB"/>
    <w:rsid w:val="00A92A73"/>
    <w:rsid w:val="00B02584"/>
    <w:rsid w:val="00B25EDA"/>
    <w:rsid w:val="00B31AF7"/>
    <w:rsid w:val="00B51677"/>
    <w:rsid w:val="00B76914"/>
    <w:rsid w:val="00B80449"/>
    <w:rsid w:val="00B87E6D"/>
    <w:rsid w:val="00B9639D"/>
    <w:rsid w:val="00BA0B9E"/>
    <w:rsid w:val="00BA4EBE"/>
    <w:rsid w:val="00BB5CBD"/>
    <w:rsid w:val="00BC140C"/>
    <w:rsid w:val="00BC44F5"/>
    <w:rsid w:val="00BD3764"/>
    <w:rsid w:val="00BD5B05"/>
    <w:rsid w:val="00BF2934"/>
    <w:rsid w:val="00C0429F"/>
    <w:rsid w:val="00C31B99"/>
    <w:rsid w:val="00C3277A"/>
    <w:rsid w:val="00C42C8A"/>
    <w:rsid w:val="00C47ECD"/>
    <w:rsid w:val="00C86D9C"/>
    <w:rsid w:val="00C87C62"/>
    <w:rsid w:val="00C90D65"/>
    <w:rsid w:val="00C91236"/>
    <w:rsid w:val="00CA6C03"/>
    <w:rsid w:val="00D057BF"/>
    <w:rsid w:val="00D22CD2"/>
    <w:rsid w:val="00D232F5"/>
    <w:rsid w:val="00D6042A"/>
    <w:rsid w:val="00D82EF9"/>
    <w:rsid w:val="00D86A99"/>
    <w:rsid w:val="00DA66DF"/>
    <w:rsid w:val="00DB4D9F"/>
    <w:rsid w:val="00DC1097"/>
    <w:rsid w:val="00DC2D76"/>
    <w:rsid w:val="00DD24EE"/>
    <w:rsid w:val="00DD5E87"/>
    <w:rsid w:val="00DD7EFF"/>
    <w:rsid w:val="00DE1F9B"/>
    <w:rsid w:val="00DE5F17"/>
    <w:rsid w:val="00DF5444"/>
    <w:rsid w:val="00E05D5D"/>
    <w:rsid w:val="00E427B8"/>
    <w:rsid w:val="00E571D1"/>
    <w:rsid w:val="00EA470F"/>
    <w:rsid w:val="00EC3799"/>
    <w:rsid w:val="00EE4637"/>
    <w:rsid w:val="00EE7031"/>
    <w:rsid w:val="00F04184"/>
    <w:rsid w:val="00F10424"/>
    <w:rsid w:val="00F10FA3"/>
    <w:rsid w:val="00F17F3E"/>
    <w:rsid w:val="00F26937"/>
    <w:rsid w:val="00F2693F"/>
    <w:rsid w:val="00F331FE"/>
    <w:rsid w:val="00F36B37"/>
    <w:rsid w:val="00F74835"/>
    <w:rsid w:val="00FB0011"/>
    <w:rsid w:val="00FC351C"/>
    <w:rsid w:val="00FC3A14"/>
    <w:rsid w:val="00FC690E"/>
    <w:rsid w:val="00FD54F9"/>
    <w:rsid w:val="00FD6982"/>
    <w:rsid w:val="00FE376A"/>
    <w:rsid w:val="02502671"/>
    <w:rsid w:val="02B32C00"/>
    <w:rsid w:val="02E95776"/>
    <w:rsid w:val="05900FD6"/>
    <w:rsid w:val="06170F1E"/>
    <w:rsid w:val="07707311"/>
    <w:rsid w:val="08A96637"/>
    <w:rsid w:val="08FA3336"/>
    <w:rsid w:val="0B3F14D4"/>
    <w:rsid w:val="0EE04D7C"/>
    <w:rsid w:val="0F7A0D2D"/>
    <w:rsid w:val="11E15093"/>
    <w:rsid w:val="133833D9"/>
    <w:rsid w:val="13B3480E"/>
    <w:rsid w:val="13EB044B"/>
    <w:rsid w:val="14927DC8"/>
    <w:rsid w:val="152F4368"/>
    <w:rsid w:val="15995C85"/>
    <w:rsid w:val="167E55A7"/>
    <w:rsid w:val="18616F2E"/>
    <w:rsid w:val="18F71640"/>
    <w:rsid w:val="1B723200"/>
    <w:rsid w:val="1C406E5A"/>
    <w:rsid w:val="1CC76D35"/>
    <w:rsid w:val="1EFB5F98"/>
    <w:rsid w:val="1F7A7FC0"/>
    <w:rsid w:val="1FE3088A"/>
    <w:rsid w:val="20580C17"/>
    <w:rsid w:val="22145011"/>
    <w:rsid w:val="232F7706"/>
    <w:rsid w:val="24885842"/>
    <w:rsid w:val="25CC175F"/>
    <w:rsid w:val="27C6290A"/>
    <w:rsid w:val="2A522B7B"/>
    <w:rsid w:val="2D9E60D7"/>
    <w:rsid w:val="2E163EBF"/>
    <w:rsid w:val="2FB90FA6"/>
    <w:rsid w:val="30444929"/>
    <w:rsid w:val="305667F5"/>
    <w:rsid w:val="309F019C"/>
    <w:rsid w:val="3330332D"/>
    <w:rsid w:val="33997124"/>
    <w:rsid w:val="348B6F49"/>
    <w:rsid w:val="35B375BA"/>
    <w:rsid w:val="35F10265"/>
    <w:rsid w:val="381476C1"/>
    <w:rsid w:val="38207DBA"/>
    <w:rsid w:val="3A7C154E"/>
    <w:rsid w:val="3BF03FA1"/>
    <w:rsid w:val="3C2C4182"/>
    <w:rsid w:val="3D65451B"/>
    <w:rsid w:val="3EA03A5D"/>
    <w:rsid w:val="3EBF6FAA"/>
    <w:rsid w:val="41C060DD"/>
    <w:rsid w:val="41F36599"/>
    <w:rsid w:val="43CADBEB"/>
    <w:rsid w:val="44531571"/>
    <w:rsid w:val="447D014B"/>
    <w:rsid w:val="44D73F50"/>
    <w:rsid w:val="450E3843"/>
    <w:rsid w:val="467A5823"/>
    <w:rsid w:val="47FB7F56"/>
    <w:rsid w:val="48082673"/>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87827CA"/>
    <w:rsid w:val="5A134FAF"/>
    <w:rsid w:val="5B871DD5"/>
    <w:rsid w:val="5C380D48"/>
    <w:rsid w:val="5D264C1C"/>
    <w:rsid w:val="5D3E4715"/>
    <w:rsid w:val="5D844C07"/>
    <w:rsid w:val="60EF5D26"/>
    <w:rsid w:val="62364E44"/>
    <w:rsid w:val="62F67840"/>
    <w:rsid w:val="649E1F3D"/>
    <w:rsid w:val="64EA0CC3"/>
    <w:rsid w:val="65907AD8"/>
    <w:rsid w:val="66770C98"/>
    <w:rsid w:val="66A650D9"/>
    <w:rsid w:val="66F12434"/>
    <w:rsid w:val="67915D89"/>
    <w:rsid w:val="69390486"/>
    <w:rsid w:val="6A0B1E23"/>
    <w:rsid w:val="6A23552C"/>
    <w:rsid w:val="6AC64860"/>
    <w:rsid w:val="6AFE1987"/>
    <w:rsid w:val="6B99343A"/>
    <w:rsid w:val="6BE566A3"/>
    <w:rsid w:val="6DA46816"/>
    <w:rsid w:val="6DEF005D"/>
    <w:rsid w:val="6F997ED1"/>
    <w:rsid w:val="6FEF189F"/>
    <w:rsid w:val="705362D1"/>
    <w:rsid w:val="71105F71"/>
    <w:rsid w:val="72A11576"/>
    <w:rsid w:val="72D37256"/>
    <w:rsid w:val="72E92126"/>
    <w:rsid w:val="7419513C"/>
    <w:rsid w:val="755A7E7F"/>
    <w:rsid w:val="75E83018"/>
    <w:rsid w:val="767D5E56"/>
    <w:rsid w:val="76FFA74F"/>
    <w:rsid w:val="78762B5D"/>
    <w:rsid w:val="78833246"/>
    <w:rsid w:val="7997722F"/>
    <w:rsid w:val="7B2745E3"/>
    <w:rsid w:val="7B4C229B"/>
    <w:rsid w:val="7B86B4F4"/>
    <w:rsid w:val="7C037F26"/>
    <w:rsid w:val="7C1F350C"/>
    <w:rsid w:val="7F237BD2"/>
    <w:rsid w:val="7FDB638E"/>
    <w:rsid w:val="7FDB9968"/>
    <w:rsid w:val="9EEF7247"/>
    <w:rsid w:val="C668FDCC"/>
    <w:rsid w:val="DBFF6BAF"/>
    <w:rsid w:val="E7DDEF5D"/>
    <w:rsid w:val="EEDF287C"/>
    <w:rsid w:val="F6ECACFB"/>
    <w:rsid w:val="F7EBB1CF"/>
    <w:rsid w:val="FB7FC70B"/>
    <w:rsid w:val="FEDF0AF9"/>
    <w:rsid w:val="FFD5C9FF"/>
    <w:rsid w:val="FFFF1D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9"/>
    <w:semiHidden/>
    <w:unhideWhenUsed/>
    <w:qFormat/>
    <w:uiPriority w:val="99"/>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annotation reference"/>
    <w:basedOn w:val="10"/>
    <w:semiHidden/>
    <w:unhideWhenUsed/>
    <w:qFormat/>
    <w:uiPriority w:val="99"/>
    <w:rPr>
      <w:sz w:val="21"/>
      <w:szCs w:val="21"/>
    </w:rPr>
  </w:style>
  <w:style w:type="paragraph" w:customStyle="1" w:styleId="13">
    <w:name w:val="论文正文"/>
    <w:basedOn w:val="1"/>
    <w:qFormat/>
    <w:uiPriority w:val="0"/>
    <w:pPr>
      <w:autoSpaceDE w:val="0"/>
      <w:autoSpaceDN w:val="0"/>
      <w:spacing w:line="360" w:lineRule="auto"/>
      <w:ind w:firstLine="420" w:firstLineChars="200"/>
    </w:pPr>
    <w:rPr>
      <w:rFonts w:ascii="Times New Roman" w:hAnsi="Times New Roman" w:eastAsia="宋体" w:cs="仿宋"/>
      <w:kern w:val="0"/>
      <w:sz w:val="24"/>
      <w:lang w:eastAsia="en-US" w:bidi="en-US"/>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字符"/>
    <w:basedOn w:val="10"/>
    <w:link w:val="3"/>
    <w:semiHidden/>
    <w:qFormat/>
    <w:uiPriority w:val="99"/>
    <w:rPr>
      <w:sz w:val="18"/>
      <w:szCs w:val="18"/>
    </w:rPr>
  </w:style>
  <w:style w:type="character" w:customStyle="1" w:styleId="18">
    <w:name w:val="批注文字 字符"/>
    <w:basedOn w:val="10"/>
    <w:link w:val="2"/>
    <w:semiHidden/>
    <w:qFormat/>
    <w:uiPriority w:val="99"/>
    <w:rPr>
      <w:kern w:val="2"/>
      <w:sz w:val="21"/>
      <w:szCs w:val="22"/>
    </w:rPr>
  </w:style>
  <w:style w:type="character" w:customStyle="1" w:styleId="19">
    <w:name w:val="批注主题 字符"/>
    <w:basedOn w:val="18"/>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3189</Words>
  <Characters>3271</Characters>
  <Lines>54</Lines>
  <Paragraphs>12</Paragraphs>
  <TotalTime>0</TotalTime>
  <ScaleCrop>false</ScaleCrop>
  <LinksUpToDate>false</LinksUpToDate>
  <CharactersWithSpaces>3285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2026-04-27T01:25:00Z</dcterms:created>
  <dc:creator>shupl</dc:creator>
  <cp:lastModifiedBy>岸</cp:lastModifiedBy>
  <dcterms:modified xsi:type="dcterms:W3CDTF">2026-04-28T06:28:14Z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BD13426B36CD3E80613860672F9BCF35_43</vt:lpwstr>
  </property>
  <property fmtid="{D5CDD505-2E9C-101B-9397-08002B2CF9AE}" pid="4" name="KSOTemplateDocerSaveRecord">
    <vt:lpwstr>eyJoZGlkIjoiNDhlZDIzMjgwNmJmNDc5YmU0YzU2ZjFkZTYxYTUzMjEiLCJ1c2VySWQiOiI1NTM3ODc4NjkifQ==</vt:lpwstr>
  </property>
</Properties>
</file>