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7C09A">
      <w:pPr>
        <w:spacing w:line="360" w:lineRule="auto"/>
        <w:jc w:val="center"/>
        <w:rPr>
          <w:rStyle w:val="11"/>
          <w:rFonts w:ascii="宋体" w:hAnsi="宋体" w:eastAsia="宋体"/>
          <w:color w:val="000000"/>
          <w:sz w:val="24"/>
          <w:szCs w:val="24"/>
        </w:rPr>
      </w:pPr>
      <w:r>
        <w:rPr>
          <w:rStyle w:val="11"/>
          <w:rFonts w:hint="eastAsia" w:ascii="方正小标宋简体" w:hAnsi="方正小标宋简体" w:eastAsia="方正小标宋简体"/>
          <w:b w:val="0"/>
          <w:color w:val="000000"/>
          <w:sz w:val="32"/>
          <w:szCs w:val="32"/>
        </w:rPr>
        <w:t>“法治文化宣传”微专业招生简章</w:t>
      </w:r>
    </w:p>
    <w:p w14:paraId="471E779C">
      <w:pPr>
        <w:spacing w:line="360" w:lineRule="auto"/>
        <w:ind w:firstLine="480" w:firstLineChars="200"/>
        <w:rPr>
          <w:rStyle w:val="11"/>
          <w:rFonts w:ascii="黑体" w:hAnsi="黑体" w:eastAsia="黑体" w:cs="黑体"/>
          <w:b w:val="0"/>
          <w:bCs w:val="0"/>
          <w:color w:val="000000"/>
          <w:sz w:val="24"/>
          <w:szCs w:val="24"/>
        </w:rPr>
      </w:pPr>
    </w:p>
    <w:p w14:paraId="66ACE943">
      <w:pPr>
        <w:spacing w:line="360" w:lineRule="auto"/>
        <w:ind w:firstLine="480" w:firstLineChars="200"/>
        <w:rPr>
          <w:rFonts w:ascii="宋体" w:hAnsi="宋体" w:eastAsia="宋体"/>
          <w:color w:val="4D4D4D"/>
          <w:sz w:val="24"/>
          <w:szCs w:val="24"/>
        </w:rPr>
      </w:pPr>
      <w:r>
        <w:rPr>
          <w:rStyle w:val="11"/>
          <w:rFonts w:hint="eastAsia" w:ascii="黑体" w:hAnsi="黑体" w:eastAsia="黑体" w:cs="黑体"/>
          <w:b w:val="0"/>
          <w:bCs w:val="0"/>
          <w:color w:val="000000"/>
          <w:sz w:val="24"/>
          <w:szCs w:val="24"/>
        </w:rPr>
        <w:t>一、微专业简介</w:t>
      </w:r>
    </w:p>
    <w:p w14:paraId="17519D3F">
      <w:pPr>
        <w:spacing w:line="360" w:lineRule="auto"/>
        <w:ind w:firstLine="480" w:firstLineChars="200"/>
        <w:rPr>
          <w:rFonts w:ascii="宋体" w:hAnsi="宋体" w:eastAsia="宋体"/>
          <w:sz w:val="24"/>
          <w:szCs w:val="24"/>
        </w:rPr>
      </w:pPr>
      <w:r>
        <w:rPr>
          <w:rFonts w:hint="eastAsia" w:ascii="宋体" w:hAnsi="宋体" w:eastAsia="宋体"/>
          <w:sz w:val="24"/>
          <w:szCs w:val="24"/>
        </w:rPr>
        <w:t>为满足《中华人民共和国法治宣传教育法》（2025年11月1日实施）“谁执法谁普法”“全民普法”和“公民终身法治教育”的要求，各行各业尤其是司法、行政机关和国有企事业单位亟需具有法治文化实务技能的人才。</w:t>
      </w:r>
    </w:p>
    <w:p w14:paraId="0D3169D5">
      <w:pPr>
        <w:spacing w:line="360" w:lineRule="auto"/>
        <w:ind w:firstLine="480" w:firstLineChars="200"/>
        <w:rPr>
          <w:rFonts w:ascii="宋体" w:hAnsi="宋体" w:eastAsia="宋体"/>
          <w:sz w:val="24"/>
          <w:szCs w:val="24"/>
        </w:rPr>
      </w:pPr>
      <w:r>
        <w:rPr>
          <w:rFonts w:ascii="宋体" w:hAnsi="宋体" w:eastAsia="宋体"/>
          <w:sz w:val="24"/>
          <w:szCs w:val="24"/>
        </w:rPr>
        <w:t>“</w:t>
      </w:r>
      <w:r>
        <w:rPr>
          <w:rFonts w:hint="eastAsia" w:ascii="宋体" w:hAnsi="宋体" w:eastAsia="宋体"/>
          <w:b/>
          <w:bCs/>
          <w:sz w:val="24"/>
          <w:szCs w:val="24"/>
        </w:rPr>
        <w:t>法治文化宣传</w:t>
      </w:r>
      <w:r>
        <w:rPr>
          <w:rFonts w:ascii="宋体" w:hAnsi="宋体" w:eastAsia="宋体"/>
          <w:sz w:val="24"/>
          <w:szCs w:val="24"/>
        </w:rPr>
        <w:t>”</w:t>
      </w:r>
      <w:r>
        <w:rPr>
          <w:rFonts w:hint="eastAsia" w:ascii="宋体" w:hAnsi="宋体" w:eastAsia="宋体"/>
          <w:sz w:val="24"/>
          <w:szCs w:val="24"/>
        </w:rPr>
        <w:t>微专业是上海纪录片学院(法治宣传教育学院)以2025年4月教育部发布的高等教育本科专业目录和11月1日实施的《中华人民共和国法治宣传教育法》第四十八条“国家鼓励和支持法治宣传教育理论研究，加强法治传播、法治文化等相关人才培养”为指引，与浦东新区人民法院政治部等联合开设的微专业，并将逐步引入其他司法和行政执法机构共同参与。微专业坚持“项目化学习、产品化结业”的实战路径，在司法实践场景中开展教学，直接参与司法机关的法治宣传活动与项目，最终帮助学生完成个人法治文化作品集，增强竞聘各级国家司法与执法机关和国有企事业单位法治宣传教育岗位、媒体法治新闻与节目采编岗位、各级各类学校法治教育教师岗位，以及各类企业和社会组织的合规文化宣传与品牌公关岗位的竞争优势。</w:t>
      </w:r>
    </w:p>
    <w:p w14:paraId="2A2AB834">
      <w:pPr>
        <w:spacing w:line="360" w:lineRule="auto"/>
        <w:ind w:firstLine="480" w:firstLineChars="200"/>
        <w:rPr>
          <w:rFonts w:ascii="宋体" w:hAnsi="宋体" w:eastAsia="宋体"/>
          <w:sz w:val="24"/>
          <w:szCs w:val="24"/>
        </w:rPr>
      </w:pPr>
      <w:r>
        <w:rPr>
          <w:rFonts w:hint="eastAsia" w:ascii="宋体" w:hAnsi="宋体" w:eastAsia="宋体"/>
          <w:sz w:val="24"/>
          <w:szCs w:val="24"/>
        </w:rPr>
        <w:t>本项目面向全校本科生开放，欢迎对文艺活动、创意写作、视频拍摄及新媒体运营有兴趣，尤其是就业方向为国家司法与执法机关和国有企事业单位、媒体、各级各类学校的同学报读。</w:t>
      </w:r>
    </w:p>
    <w:p w14:paraId="18618173">
      <w:pPr>
        <w:spacing w:line="360" w:lineRule="auto"/>
        <w:ind w:firstLine="566" w:firstLineChars="236"/>
        <w:rPr>
          <w:rFonts w:ascii="宋体" w:hAnsi="宋体" w:eastAsia="宋体"/>
          <w:sz w:val="24"/>
          <w:szCs w:val="24"/>
        </w:rPr>
      </w:pPr>
    </w:p>
    <w:p w14:paraId="57E9D800">
      <w:pPr>
        <w:spacing w:line="360" w:lineRule="auto"/>
        <w:ind w:firstLine="480" w:firstLineChars="200"/>
        <w:rPr>
          <w:rStyle w:val="11"/>
          <w:rFonts w:ascii="黑体" w:hAnsi="黑体" w:eastAsia="黑体" w:cs="黑体"/>
          <w:b w:val="0"/>
          <w:bCs w:val="0"/>
          <w:color w:val="000000"/>
          <w:sz w:val="24"/>
          <w:szCs w:val="24"/>
        </w:rPr>
      </w:pPr>
      <w:r>
        <w:rPr>
          <w:rStyle w:val="11"/>
          <w:rFonts w:hint="eastAsia" w:ascii="黑体" w:hAnsi="黑体" w:eastAsia="黑体" w:cs="黑体"/>
          <w:b w:val="0"/>
          <w:bCs w:val="0"/>
          <w:color w:val="000000"/>
          <w:sz w:val="24"/>
          <w:szCs w:val="24"/>
        </w:rPr>
        <w:t>二、培养目标</w:t>
      </w:r>
    </w:p>
    <w:p w14:paraId="325337AD">
      <w:pPr>
        <w:spacing w:line="360" w:lineRule="auto"/>
        <w:ind w:firstLine="566" w:firstLineChars="236"/>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思维与知识层面</w:t>
      </w:r>
      <w:r>
        <w:rPr>
          <w:rFonts w:hint="eastAsia" w:ascii="宋体" w:hAnsi="宋体" w:eastAsia="宋体"/>
          <w:sz w:val="24"/>
          <w:szCs w:val="24"/>
        </w:rPr>
        <w:t>：</w:t>
      </w:r>
      <w:r>
        <w:rPr>
          <w:rFonts w:ascii="宋体" w:hAnsi="宋体" w:eastAsia="宋体"/>
          <w:sz w:val="24"/>
          <w:szCs w:val="24"/>
        </w:rPr>
        <w:t>本微专业致力于培养学生形成跨学科的法治文化视野，使学生不仅能够系统理解中国特色社会主义法治体系的历史脉络与文化根基，具备将抽象法条与鲜活案例相结合的分析能力，能够从文化视角解读法律现象，从法律维度审视文化问题，形成具有人文关怀的法治思维模式</w:t>
      </w:r>
      <w:r>
        <w:rPr>
          <w:rFonts w:hint="eastAsia" w:ascii="宋体" w:hAnsi="宋体" w:eastAsia="宋体"/>
          <w:sz w:val="24"/>
          <w:szCs w:val="24"/>
        </w:rPr>
        <w:t>和有效传播法治信仰的文化创意能力</w:t>
      </w:r>
      <w:r>
        <w:rPr>
          <w:rFonts w:ascii="宋体" w:hAnsi="宋体" w:eastAsia="宋体"/>
          <w:sz w:val="24"/>
          <w:szCs w:val="24"/>
        </w:rPr>
        <w:t>。</w:t>
      </w:r>
    </w:p>
    <w:p w14:paraId="619E6D6A">
      <w:pPr>
        <w:spacing w:line="360" w:lineRule="auto"/>
        <w:ind w:firstLine="566" w:firstLineChars="236"/>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能力与应用层面</w:t>
      </w:r>
      <w:r>
        <w:rPr>
          <w:rFonts w:hint="eastAsia" w:ascii="宋体" w:hAnsi="宋体" w:eastAsia="宋体"/>
          <w:sz w:val="24"/>
          <w:szCs w:val="24"/>
        </w:rPr>
        <w:t>：</w:t>
      </w:r>
      <w:r>
        <w:rPr>
          <w:rFonts w:ascii="宋体" w:hAnsi="宋体" w:eastAsia="宋体"/>
          <w:sz w:val="24"/>
          <w:szCs w:val="24"/>
        </w:rPr>
        <w:t>本微专业着重提升学生的复合应用能力，通过</w:t>
      </w:r>
      <w:r>
        <w:rPr>
          <w:rFonts w:hint="eastAsia" w:ascii="宋体" w:hAnsi="宋体" w:eastAsia="宋体"/>
          <w:sz w:val="24"/>
          <w:szCs w:val="24"/>
        </w:rPr>
        <w:t>在浦东新区法院等司法实践场景中“</w:t>
      </w:r>
      <w:r>
        <w:rPr>
          <w:rFonts w:ascii="宋体" w:hAnsi="宋体" w:eastAsia="宋体"/>
          <w:sz w:val="24"/>
          <w:szCs w:val="24"/>
        </w:rPr>
        <w:t>项目化学习、产品化结业</w:t>
      </w:r>
      <w:r>
        <w:rPr>
          <w:rFonts w:hint="eastAsia" w:ascii="宋体" w:hAnsi="宋体" w:eastAsia="宋体"/>
          <w:sz w:val="24"/>
          <w:szCs w:val="24"/>
        </w:rPr>
        <w:t>”</w:t>
      </w:r>
      <w:r>
        <w:rPr>
          <w:rFonts w:ascii="宋体" w:hAnsi="宋体" w:eastAsia="宋体"/>
          <w:sz w:val="24"/>
          <w:szCs w:val="24"/>
        </w:rPr>
        <w:t>，能够独立</w:t>
      </w:r>
      <w:r>
        <w:rPr>
          <w:rFonts w:hint="eastAsia" w:ascii="宋体" w:hAnsi="宋体" w:eastAsia="宋体"/>
          <w:sz w:val="24"/>
          <w:szCs w:val="24"/>
        </w:rPr>
        <w:t>和团队协作</w:t>
      </w:r>
      <w:r>
        <w:rPr>
          <w:rFonts w:ascii="宋体" w:hAnsi="宋体" w:eastAsia="宋体"/>
          <w:sz w:val="24"/>
          <w:szCs w:val="24"/>
        </w:rPr>
        <w:t>完成法治</w:t>
      </w:r>
      <w:r>
        <w:rPr>
          <w:rFonts w:hint="eastAsia" w:ascii="宋体" w:hAnsi="宋体" w:eastAsia="宋体"/>
          <w:sz w:val="24"/>
          <w:szCs w:val="24"/>
        </w:rPr>
        <w:t>宣传文稿写作、普法文艺活动组织、法治文化</w:t>
      </w:r>
      <w:r>
        <w:rPr>
          <w:rFonts w:ascii="宋体" w:hAnsi="宋体" w:eastAsia="宋体"/>
          <w:sz w:val="24"/>
          <w:szCs w:val="24"/>
        </w:rPr>
        <w:t>短视频</w:t>
      </w:r>
      <w:r>
        <w:rPr>
          <w:rFonts w:hint="eastAsia" w:ascii="宋体" w:hAnsi="宋体" w:eastAsia="宋体"/>
          <w:sz w:val="24"/>
          <w:szCs w:val="24"/>
        </w:rPr>
        <w:t>拍摄</w:t>
      </w:r>
      <w:r>
        <w:rPr>
          <w:rFonts w:ascii="宋体" w:hAnsi="宋体" w:eastAsia="宋体"/>
          <w:sz w:val="24"/>
          <w:szCs w:val="24"/>
        </w:rPr>
        <w:t>、新媒体普法</w:t>
      </w:r>
      <w:r>
        <w:rPr>
          <w:rFonts w:hint="eastAsia" w:ascii="宋体" w:hAnsi="宋体" w:eastAsia="宋体"/>
          <w:sz w:val="24"/>
          <w:szCs w:val="24"/>
        </w:rPr>
        <w:t>产品开发与运营</w:t>
      </w:r>
      <w:r>
        <w:rPr>
          <w:rFonts w:ascii="宋体" w:hAnsi="宋体" w:eastAsia="宋体"/>
          <w:sz w:val="24"/>
          <w:szCs w:val="24"/>
        </w:rPr>
        <w:t>等的法治文化</w:t>
      </w:r>
      <w:r>
        <w:rPr>
          <w:rFonts w:hint="eastAsia" w:ascii="宋体" w:hAnsi="宋体" w:eastAsia="宋体"/>
          <w:sz w:val="24"/>
          <w:szCs w:val="24"/>
        </w:rPr>
        <w:t>宣传教育</w:t>
      </w:r>
      <w:r>
        <w:rPr>
          <w:rFonts w:ascii="宋体" w:hAnsi="宋体" w:eastAsia="宋体"/>
          <w:sz w:val="24"/>
          <w:szCs w:val="24"/>
        </w:rPr>
        <w:t>产品，形成个人作品集，成为</w:t>
      </w:r>
      <w:r>
        <w:rPr>
          <w:rFonts w:hint="eastAsia" w:ascii="宋体" w:hAnsi="宋体" w:eastAsia="宋体"/>
          <w:sz w:val="24"/>
          <w:szCs w:val="24"/>
        </w:rPr>
        <w:t>社会亟需的，</w:t>
      </w:r>
      <w:r>
        <w:rPr>
          <w:rFonts w:ascii="宋体" w:hAnsi="宋体" w:eastAsia="宋体"/>
          <w:sz w:val="24"/>
          <w:szCs w:val="24"/>
        </w:rPr>
        <w:t>兼具法治素养</w:t>
      </w:r>
      <w:r>
        <w:rPr>
          <w:rFonts w:hint="eastAsia" w:ascii="宋体" w:hAnsi="宋体" w:eastAsia="宋体"/>
          <w:sz w:val="24"/>
          <w:szCs w:val="24"/>
        </w:rPr>
        <w:t>、</w:t>
      </w:r>
      <w:r>
        <w:rPr>
          <w:rFonts w:ascii="宋体" w:hAnsi="宋体" w:eastAsia="宋体"/>
          <w:sz w:val="24"/>
          <w:szCs w:val="24"/>
        </w:rPr>
        <w:t>人文沟通</w:t>
      </w:r>
      <w:r>
        <w:rPr>
          <w:rFonts w:hint="eastAsia" w:ascii="宋体" w:hAnsi="宋体" w:eastAsia="宋体"/>
          <w:sz w:val="24"/>
          <w:szCs w:val="24"/>
        </w:rPr>
        <w:t>和艺术表现</w:t>
      </w:r>
      <w:r>
        <w:rPr>
          <w:rFonts w:ascii="宋体" w:hAnsi="宋体" w:eastAsia="宋体"/>
          <w:sz w:val="24"/>
          <w:szCs w:val="24"/>
        </w:rPr>
        <w:t>能力的</w:t>
      </w:r>
      <w:r>
        <w:rPr>
          <w:rFonts w:hint="eastAsia" w:ascii="宋体" w:hAnsi="宋体" w:eastAsia="宋体"/>
          <w:sz w:val="24"/>
          <w:szCs w:val="24"/>
        </w:rPr>
        <w:t>法治宣传教育</w:t>
      </w:r>
      <w:r>
        <w:rPr>
          <w:rFonts w:ascii="宋体" w:hAnsi="宋体" w:eastAsia="宋体"/>
          <w:sz w:val="24"/>
          <w:szCs w:val="24"/>
        </w:rPr>
        <w:t>应用型人才。</w:t>
      </w:r>
    </w:p>
    <w:p w14:paraId="58133BBA">
      <w:pPr>
        <w:spacing w:line="360" w:lineRule="auto"/>
        <w:ind w:firstLine="566" w:firstLineChars="236"/>
        <w:rPr>
          <w:rFonts w:ascii="宋体" w:hAnsi="宋体" w:eastAsia="宋体"/>
          <w:sz w:val="24"/>
          <w:szCs w:val="24"/>
        </w:rPr>
      </w:pPr>
    </w:p>
    <w:p w14:paraId="7787BD7D">
      <w:pPr>
        <w:spacing w:beforeLines="50" w:afterLines="50" w:line="360" w:lineRule="auto"/>
        <w:ind w:left="562"/>
        <w:rPr>
          <w:rFonts w:ascii="宋体" w:hAnsi="宋体" w:eastAsia="黑体"/>
          <w:b/>
          <w:sz w:val="28"/>
          <w:szCs w:val="28"/>
        </w:rPr>
      </w:pPr>
      <w:r>
        <w:rPr>
          <w:rStyle w:val="11"/>
          <w:rFonts w:hint="eastAsia" w:ascii="黑体" w:hAnsi="黑体" w:eastAsia="黑体" w:cs="黑体"/>
          <w:b w:val="0"/>
          <w:bCs w:val="0"/>
          <w:color w:val="000000"/>
          <w:sz w:val="24"/>
          <w:szCs w:val="24"/>
        </w:rPr>
        <w:t>三、招生对象、报名条件及招生规模</w:t>
      </w:r>
    </w:p>
    <w:p w14:paraId="6555F890">
      <w:pPr>
        <w:spacing w:line="360" w:lineRule="auto"/>
        <w:ind w:firstLine="482" w:firstLineChars="200"/>
        <w:rPr>
          <w:rFonts w:ascii="宋体" w:hAnsi="宋体" w:eastAsia="宋体"/>
          <w:b/>
          <w:sz w:val="24"/>
          <w:szCs w:val="24"/>
        </w:rPr>
      </w:pPr>
      <w:r>
        <w:rPr>
          <w:rFonts w:hint="eastAsia" w:ascii="宋体" w:hAnsi="宋体" w:eastAsia="宋体"/>
          <w:b/>
          <w:sz w:val="24"/>
          <w:szCs w:val="24"/>
        </w:rPr>
        <w:t>（一）招生对象</w:t>
      </w:r>
    </w:p>
    <w:p w14:paraId="5DA6654C">
      <w:pPr>
        <w:spacing w:line="360" w:lineRule="auto"/>
        <w:ind w:firstLine="480" w:firstLineChars="200"/>
        <w:rPr>
          <w:rFonts w:ascii="宋体" w:hAnsi="宋体" w:eastAsia="宋体"/>
          <w:color w:val="4D4D4D"/>
          <w:sz w:val="24"/>
          <w:szCs w:val="24"/>
        </w:rPr>
      </w:pPr>
      <w:r>
        <w:rPr>
          <w:rFonts w:hint="eastAsia" w:ascii="宋体" w:hAnsi="宋体" w:eastAsia="宋体"/>
          <w:color w:val="4D4D4D"/>
          <w:sz w:val="24"/>
          <w:szCs w:val="24"/>
        </w:rPr>
        <w:t>本微专业主要面向上海政法学院2023级、2024级和2025级全日制本科生招生，不限专业。</w:t>
      </w:r>
    </w:p>
    <w:p w14:paraId="39FC23D7">
      <w:pPr>
        <w:spacing w:line="360" w:lineRule="auto"/>
        <w:ind w:firstLine="482" w:firstLineChars="200"/>
        <w:rPr>
          <w:rFonts w:ascii="宋体" w:hAnsi="宋体" w:eastAsia="宋体"/>
          <w:b/>
          <w:sz w:val="24"/>
          <w:szCs w:val="24"/>
        </w:rPr>
      </w:pPr>
      <w:r>
        <w:rPr>
          <w:rFonts w:hint="eastAsia" w:ascii="宋体" w:hAnsi="宋体" w:eastAsia="宋体"/>
          <w:b/>
          <w:sz w:val="24"/>
          <w:szCs w:val="24"/>
        </w:rPr>
        <w:t>（二）报名条件</w:t>
      </w:r>
    </w:p>
    <w:p w14:paraId="69CB2D03">
      <w:pPr>
        <w:spacing w:line="360" w:lineRule="auto"/>
        <w:ind w:firstLine="482" w:firstLineChars="200"/>
        <w:rPr>
          <w:rFonts w:ascii="宋体" w:hAnsi="宋体" w:eastAsia="宋体"/>
          <w:sz w:val="24"/>
          <w:szCs w:val="24"/>
        </w:rPr>
      </w:pPr>
      <w:r>
        <w:rPr>
          <w:rFonts w:ascii="宋体" w:hAnsi="宋体" w:eastAsia="宋体"/>
          <w:b/>
          <w:sz w:val="24"/>
          <w:szCs w:val="24"/>
        </w:rPr>
        <w:t>1</w:t>
      </w:r>
      <w:r>
        <w:rPr>
          <w:rFonts w:hint="eastAsia" w:ascii="宋体" w:hAnsi="宋体" w:eastAsia="宋体"/>
          <w:b/>
          <w:sz w:val="24"/>
          <w:szCs w:val="24"/>
        </w:rPr>
        <w:t>.</w:t>
      </w:r>
      <w:r>
        <w:rPr>
          <w:rFonts w:ascii="宋体" w:hAnsi="宋体" w:eastAsia="宋体"/>
          <w:b/>
          <w:sz w:val="24"/>
          <w:szCs w:val="24"/>
        </w:rPr>
        <w:t>招生条件</w:t>
      </w:r>
    </w:p>
    <w:p w14:paraId="17312F79">
      <w:pPr>
        <w:spacing w:line="360" w:lineRule="auto"/>
        <w:ind w:firstLine="480" w:firstLineChars="200"/>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对文艺活动、创意写作、视频拍摄及新媒体运营有兴趣，以优先就业为毕业选择</w:t>
      </w:r>
      <w:r>
        <w:rPr>
          <w:rFonts w:ascii="宋体" w:hAnsi="宋体" w:eastAsia="宋体"/>
          <w:sz w:val="24"/>
          <w:szCs w:val="24"/>
        </w:rPr>
        <w:t>。</w:t>
      </w:r>
    </w:p>
    <w:p w14:paraId="08BEFDC4">
      <w:pPr>
        <w:spacing w:line="360" w:lineRule="auto"/>
        <w:ind w:firstLine="480" w:firstLineChars="200"/>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认同上海纪录片学院（法治宣传教育学院）“脚底有泥，手上有活，心里有谱，眼中有光”的育人理念，政治立场坚定，乐于动手实干，愿意团队协作</w:t>
      </w:r>
      <w:r>
        <w:rPr>
          <w:rFonts w:ascii="宋体" w:hAnsi="宋体" w:eastAsia="宋体"/>
          <w:sz w:val="24"/>
          <w:szCs w:val="24"/>
        </w:rPr>
        <w:t>。</w:t>
      </w:r>
    </w:p>
    <w:p w14:paraId="12D99152">
      <w:pPr>
        <w:spacing w:line="360" w:lineRule="auto"/>
        <w:ind w:firstLine="482" w:firstLineChars="200"/>
        <w:rPr>
          <w:rFonts w:ascii="宋体" w:hAnsi="宋体" w:eastAsia="宋体"/>
          <w:b/>
          <w:sz w:val="24"/>
          <w:szCs w:val="24"/>
        </w:rPr>
      </w:pPr>
      <w:r>
        <w:rPr>
          <w:rFonts w:ascii="宋体" w:hAnsi="宋体" w:eastAsia="宋体"/>
          <w:b/>
          <w:sz w:val="24"/>
          <w:szCs w:val="24"/>
        </w:rPr>
        <w:t>2</w:t>
      </w:r>
      <w:r>
        <w:rPr>
          <w:rFonts w:hint="eastAsia" w:ascii="宋体" w:hAnsi="宋体" w:eastAsia="宋体"/>
          <w:b/>
          <w:sz w:val="24"/>
          <w:szCs w:val="24"/>
        </w:rPr>
        <w:t>.</w:t>
      </w:r>
      <w:r>
        <w:rPr>
          <w:rFonts w:ascii="宋体" w:hAnsi="宋体" w:eastAsia="宋体"/>
          <w:b/>
          <w:sz w:val="24"/>
          <w:szCs w:val="24"/>
        </w:rPr>
        <w:t>前置课程</w:t>
      </w:r>
    </w:p>
    <w:p w14:paraId="37E5C499">
      <w:pPr>
        <w:spacing w:line="360" w:lineRule="auto"/>
        <w:ind w:firstLine="480" w:firstLineChars="200"/>
        <w:rPr>
          <w:rFonts w:ascii="宋体" w:hAnsi="宋体" w:eastAsia="宋体"/>
          <w:sz w:val="24"/>
          <w:szCs w:val="24"/>
        </w:rPr>
      </w:pPr>
      <w:r>
        <w:rPr>
          <w:rFonts w:hint="eastAsia" w:ascii="宋体" w:hAnsi="宋体" w:eastAsia="宋体"/>
          <w:sz w:val="24"/>
          <w:szCs w:val="24"/>
        </w:rPr>
        <w:t>招生不限专业，对前置课程无强制性要求。</w:t>
      </w:r>
    </w:p>
    <w:p w14:paraId="545FCF72">
      <w:pPr>
        <w:spacing w:line="360" w:lineRule="auto"/>
        <w:ind w:firstLine="482" w:firstLineChars="200"/>
        <w:rPr>
          <w:rFonts w:ascii="宋体" w:hAnsi="宋体" w:eastAsia="宋体"/>
          <w:b/>
          <w:sz w:val="24"/>
          <w:szCs w:val="24"/>
        </w:rPr>
      </w:pPr>
      <w:r>
        <w:rPr>
          <w:rFonts w:hint="eastAsia" w:ascii="宋体" w:hAnsi="宋体" w:eastAsia="宋体"/>
          <w:b/>
          <w:sz w:val="24"/>
          <w:szCs w:val="24"/>
        </w:rPr>
        <w:t>（三）招生规模</w:t>
      </w:r>
    </w:p>
    <w:p w14:paraId="69BB7B3A">
      <w:pPr>
        <w:spacing w:line="360" w:lineRule="auto"/>
        <w:ind w:firstLine="480" w:firstLineChars="200"/>
        <w:rPr>
          <w:rFonts w:ascii="宋体" w:hAnsi="宋体" w:eastAsia="宋体"/>
          <w:sz w:val="24"/>
          <w:szCs w:val="24"/>
        </w:rPr>
      </w:pPr>
      <w:r>
        <w:rPr>
          <w:rFonts w:hint="eastAsia" w:ascii="宋体" w:hAnsi="宋体" w:eastAsia="宋体"/>
          <w:sz w:val="24"/>
          <w:szCs w:val="24"/>
        </w:rPr>
        <w:t>本微专业本次招生人数为25名。若招生人数低于15人，不予开班教学。若报名人数超过限额，将会择优录取。</w:t>
      </w:r>
    </w:p>
    <w:p w14:paraId="59415DDC">
      <w:pPr>
        <w:spacing w:beforeLines="50" w:afterLines="50" w:line="560" w:lineRule="exact"/>
        <w:ind w:left="562"/>
        <w:rPr>
          <w:rStyle w:val="11"/>
          <w:rFonts w:ascii="黑体" w:hAnsi="黑体" w:eastAsia="黑体" w:cs="黑体"/>
          <w:b w:val="0"/>
          <w:bCs w:val="0"/>
          <w:color w:val="000000"/>
          <w:sz w:val="24"/>
          <w:szCs w:val="24"/>
        </w:rPr>
      </w:pPr>
      <w:r>
        <w:rPr>
          <w:rStyle w:val="11"/>
          <w:rFonts w:hint="eastAsia" w:ascii="黑体" w:hAnsi="黑体" w:eastAsia="黑体" w:cs="黑体"/>
          <w:b w:val="0"/>
          <w:bCs w:val="0"/>
          <w:color w:val="000000"/>
          <w:sz w:val="24"/>
          <w:szCs w:val="24"/>
        </w:rPr>
        <w:t>四、课程设置</w:t>
      </w:r>
    </w:p>
    <w:p w14:paraId="1305BCC6">
      <w:pPr>
        <w:spacing w:afterLines="50" w:line="400" w:lineRule="exact"/>
        <w:ind w:left="480"/>
        <w:jc w:val="center"/>
        <w:rPr>
          <w:rFonts w:ascii="黑体" w:eastAsia="黑体"/>
          <w:b/>
          <w:sz w:val="24"/>
        </w:rPr>
      </w:pPr>
      <w:r>
        <w:rPr>
          <w:rFonts w:hint="eastAsia" w:ascii="黑体" w:eastAsia="黑体"/>
          <w:b/>
          <w:sz w:val="24"/>
        </w:rPr>
        <w:t>法治文化宣传微专业课程设置及教学进程计划表</w:t>
      </w:r>
    </w:p>
    <w:tbl>
      <w:tblPr>
        <w:tblStyle w:val="8"/>
        <w:tblW w:w="8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48"/>
        <w:gridCol w:w="2946"/>
        <w:gridCol w:w="870"/>
        <w:gridCol w:w="852"/>
        <w:gridCol w:w="3150"/>
      </w:tblGrid>
      <w:tr w14:paraId="63680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648" w:type="dxa"/>
            <w:noWrap/>
            <w:vAlign w:val="center"/>
          </w:tcPr>
          <w:p w14:paraId="63D68386">
            <w:pPr>
              <w:spacing w:line="288" w:lineRule="auto"/>
              <w:jc w:val="center"/>
              <w:rPr>
                <w:b/>
                <w:bCs/>
                <w:kern w:val="0"/>
                <w:sz w:val="20"/>
                <w:szCs w:val="20"/>
              </w:rPr>
            </w:pPr>
            <w:r>
              <w:rPr>
                <w:rFonts w:hint="eastAsia"/>
                <w:b/>
                <w:bCs/>
                <w:kern w:val="0"/>
                <w:sz w:val="20"/>
                <w:szCs w:val="20"/>
              </w:rPr>
              <w:t>序号</w:t>
            </w:r>
          </w:p>
        </w:tc>
        <w:tc>
          <w:tcPr>
            <w:tcW w:w="2946" w:type="dxa"/>
            <w:noWrap/>
            <w:vAlign w:val="center"/>
          </w:tcPr>
          <w:p w14:paraId="182A8FE8">
            <w:pPr>
              <w:spacing w:line="288" w:lineRule="auto"/>
              <w:jc w:val="center"/>
              <w:rPr>
                <w:b/>
                <w:bCs/>
                <w:kern w:val="0"/>
                <w:sz w:val="20"/>
                <w:szCs w:val="20"/>
              </w:rPr>
            </w:pPr>
            <w:r>
              <w:rPr>
                <w:rFonts w:hint="eastAsia"/>
                <w:b/>
                <w:bCs/>
                <w:kern w:val="0"/>
                <w:sz w:val="20"/>
                <w:szCs w:val="20"/>
              </w:rPr>
              <w:t>课程名称</w:t>
            </w:r>
          </w:p>
        </w:tc>
        <w:tc>
          <w:tcPr>
            <w:tcW w:w="870" w:type="dxa"/>
            <w:noWrap/>
            <w:vAlign w:val="center"/>
          </w:tcPr>
          <w:p w14:paraId="50880678">
            <w:pPr>
              <w:spacing w:line="288" w:lineRule="auto"/>
              <w:jc w:val="center"/>
              <w:rPr>
                <w:b/>
                <w:bCs/>
                <w:kern w:val="0"/>
                <w:sz w:val="20"/>
                <w:szCs w:val="20"/>
              </w:rPr>
            </w:pPr>
            <w:r>
              <w:rPr>
                <w:rFonts w:hint="eastAsia"/>
                <w:b/>
                <w:bCs/>
                <w:kern w:val="0"/>
                <w:sz w:val="20"/>
                <w:szCs w:val="20"/>
              </w:rPr>
              <w:t>学分</w:t>
            </w:r>
          </w:p>
        </w:tc>
        <w:tc>
          <w:tcPr>
            <w:tcW w:w="852" w:type="dxa"/>
            <w:noWrap/>
            <w:vAlign w:val="center"/>
          </w:tcPr>
          <w:p w14:paraId="309B75C9">
            <w:pPr>
              <w:spacing w:line="288" w:lineRule="auto"/>
              <w:jc w:val="center"/>
              <w:rPr>
                <w:b/>
                <w:bCs/>
                <w:kern w:val="0"/>
                <w:sz w:val="20"/>
                <w:szCs w:val="20"/>
              </w:rPr>
            </w:pPr>
            <w:r>
              <w:rPr>
                <w:rFonts w:hint="eastAsia"/>
                <w:b/>
                <w:bCs/>
                <w:kern w:val="0"/>
                <w:sz w:val="20"/>
                <w:szCs w:val="20"/>
              </w:rPr>
              <w:t>学时</w:t>
            </w:r>
          </w:p>
        </w:tc>
        <w:tc>
          <w:tcPr>
            <w:tcW w:w="3150" w:type="dxa"/>
            <w:noWrap/>
            <w:vAlign w:val="center"/>
          </w:tcPr>
          <w:p w14:paraId="1D9F6DB7">
            <w:pPr>
              <w:spacing w:line="288" w:lineRule="auto"/>
              <w:jc w:val="center"/>
              <w:rPr>
                <w:b/>
                <w:bCs/>
                <w:kern w:val="0"/>
                <w:sz w:val="20"/>
                <w:szCs w:val="20"/>
              </w:rPr>
            </w:pPr>
            <w:r>
              <w:rPr>
                <w:rFonts w:hint="eastAsia"/>
                <w:b/>
                <w:bCs/>
                <w:kern w:val="0"/>
                <w:sz w:val="20"/>
                <w:szCs w:val="20"/>
              </w:rPr>
              <w:t>开课学期</w:t>
            </w:r>
          </w:p>
        </w:tc>
      </w:tr>
      <w:tr w14:paraId="60EAC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648" w:type="dxa"/>
            <w:noWrap/>
            <w:vAlign w:val="center"/>
          </w:tcPr>
          <w:p w14:paraId="16BDDA3F">
            <w:pPr>
              <w:spacing w:line="360" w:lineRule="auto"/>
              <w:jc w:val="center"/>
              <w:rPr>
                <w:kern w:val="0"/>
                <w:sz w:val="20"/>
                <w:szCs w:val="20"/>
              </w:rPr>
            </w:pPr>
            <w:r>
              <w:rPr>
                <w:rFonts w:hint="eastAsia"/>
                <w:kern w:val="0"/>
                <w:sz w:val="20"/>
                <w:szCs w:val="20"/>
              </w:rPr>
              <w:t>1</w:t>
            </w:r>
          </w:p>
        </w:tc>
        <w:tc>
          <w:tcPr>
            <w:tcW w:w="2946" w:type="dxa"/>
            <w:noWrap/>
            <w:vAlign w:val="center"/>
          </w:tcPr>
          <w:p w14:paraId="58FFED05">
            <w:pPr>
              <w:spacing w:line="360" w:lineRule="auto"/>
              <w:jc w:val="center"/>
              <w:rPr>
                <w:kern w:val="0"/>
                <w:sz w:val="20"/>
                <w:szCs w:val="20"/>
              </w:rPr>
            </w:pPr>
            <w:r>
              <w:rPr>
                <w:rFonts w:hint="eastAsia"/>
                <w:kern w:val="0"/>
                <w:sz w:val="20"/>
                <w:szCs w:val="20"/>
              </w:rPr>
              <w:t>法治文化宣传导论</w:t>
            </w:r>
          </w:p>
        </w:tc>
        <w:tc>
          <w:tcPr>
            <w:tcW w:w="870" w:type="dxa"/>
            <w:noWrap/>
            <w:vAlign w:val="center"/>
          </w:tcPr>
          <w:p w14:paraId="3AA20C6C">
            <w:pPr>
              <w:spacing w:line="360" w:lineRule="auto"/>
              <w:jc w:val="center"/>
              <w:rPr>
                <w:rFonts w:ascii="仿宋_GB2312" w:eastAsia="仿宋_GB2312"/>
                <w:kern w:val="0"/>
                <w:sz w:val="24"/>
                <w:szCs w:val="24"/>
              </w:rPr>
            </w:pPr>
            <w:r>
              <w:rPr>
                <w:rFonts w:hint="eastAsia"/>
                <w:kern w:val="0"/>
                <w:sz w:val="20"/>
                <w:szCs w:val="20"/>
              </w:rPr>
              <w:t>2</w:t>
            </w:r>
          </w:p>
        </w:tc>
        <w:tc>
          <w:tcPr>
            <w:tcW w:w="852" w:type="dxa"/>
            <w:noWrap/>
            <w:vAlign w:val="center"/>
          </w:tcPr>
          <w:p w14:paraId="1975FF6B">
            <w:pPr>
              <w:spacing w:line="360" w:lineRule="auto"/>
              <w:jc w:val="center"/>
              <w:rPr>
                <w:rFonts w:ascii="仿宋_GB2312" w:eastAsia="仿宋_GB2312"/>
                <w:kern w:val="0"/>
                <w:sz w:val="24"/>
                <w:szCs w:val="24"/>
              </w:rPr>
            </w:pPr>
            <w:r>
              <w:rPr>
                <w:rFonts w:hint="eastAsia"/>
                <w:kern w:val="0"/>
                <w:sz w:val="20"/>
                <w:szCs w:val="20"/>
              </w:rPr>
              <w:t>30</w:t>
            </w:r>
          </w:p>
        </w:tc>
        <w:tc>
          <w:tcPr>
            <w:tcW w:w="3150" w:type="dxa"/>
            <w:noWrap/>
            <w:vAlign w:val="center"/>
          </w:tcPr>
          <w:p w14:paraId="630C9F1B">
            <w:pPr>
              <w:spacing w:line="360" w:lineRule="auto"/>
              <w:jc w:val="center"/>
              <w:rPr>
                <w:rFonts w:ascii="仿宋_GB2312" w:eastAsia="仿宋_GB2312"/>
                <w:kern w:val="0"/>
                <w:sz w:val="24"/>
                <w:szCs w:val="24"/>
              </w:rPr>
            </w:pPr>
            <w:r>
              <w:rPr>
                <w:rFonts w:hint="eastAsia"/>
                <w:kern w:val="0"/>
                <w:sz w:val="20"/>
                <w:szCs w:val="20"/>
              </w:rPr>
              <w:t>2026年夏季学期</w:t>
            </w:r>
          </w:p>
        </w:tc>
      </w:tr>
      <w:tr w14:paraId="58668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2" w:hRule="atLeast"/>
          <w:jc w:val="center"/>
        </w:trPr>
        <w:tc>
          <w:tcPr>
            <w:tcW w:w="648" w:type="dxa"/>
            <w:noWrap/>
            <w:vAlign w:val="center"/>
          </w:tcPr>
          <w:p w14:paraId="02A67989">
            <w:pPr>
              <w:spacing w:line="360" w:lineRule="auto"/>
              <w:jc w:val="center"/>
              <w:rPr>
                <w:kern w:val="0"/>
                <w:sz w:val="20"/>
                <w:szCs w:val="20"/>
              </w:rPr>
            </w:pPr>
            <w:r>
              <w:rPr>
                <w:rFonts w:hint="eastAsia"/>
                <w:kern w:val="0"/>
                <w:sz w:val="20"/>
                <w:szCs w:val="20"/>
              </w:rPr>
              <w:t>2</w:t>
            </w:r>
          </w:p>
        </w:tc>
        <w:tc>
          <w:tcPr>
            <w:tcW w:w="2946" w:type="dxa"/>
            <w:noWrap/>
            <w:vAlign w:val="center"/>
          </w:tcPr>
          <w:p w14:paraId="2C916442">
            <w:pPr>
              <w:spacing w:line="360" w:lineRule="auto"/>
              <w:jc w:val="center"/>
              <w:rPr>
                <w:kern w:val="0"/>
                <w:sz w:val="20"/>
                <w:szCs w:val="20"/>
              </w:rPr>
            </w:pPr>
            <w:r>
              <w:rPr>
                <w:rFonts w:hint="eastAsia"/>
                <w:kern w:val="0"/>
                <w:sz w:val="20"/>
                <w:szCs w:val="20"/>
              </w:rPr>
              <w:t>视频制作与AIGC应用</w:t>
            </w:r>
          </w:p>
        </w:tc>
        <w:tc>
          <w:tcPr>
            <w:tcW w:w="870" w:type="dxa"/>
            <w:noWrap/>
            <w:vAlign w:val="center"/>
          </w:tcPr>
          <w:p w14:paraId="3A203C77">
            <w:pPr>
              <w:spacing w:line="360" w:lineRule="auto"/>
              <w:jc w:val="center"/>
              <w:rPr>
                <w:rFonts w:ascii="仿宋_GB2312" w:eastAsia="仿宋_GB2312"/>
                <w:kern w:val="0"/>
                <w:sz w:val="24"/>
                <w:szCs w:val="24"/>
              </w:rPr>
            </w:pPr>
            <w:r>
              <w:rPr>
                <w:rFonts w:hint="eastAsia"/>
                <w:kern w:val="0"/>
                <w:sz w:val="20"/>
                <w:szCs w:val="20"/>
              </w:rPr>
              <w:t>2</w:t>
            </w:r>
          </w:p>
        </w:tc>
        <w:tc>
          <w:tcPr>
            <w:tcW w:w="852" w:type="dxa"/>
            <w:noWrap/>
            <w:vAlign w:val="center"/>
          </w:tcPr>
          <w:p w14:paraId="5A304014">
            <w:pPr>
              <w:spacing w:line="360" w:lineRule="auto"/>
              <w:jc w:val="center"/>
              <w:rPr>
                <w:rFonts w:ascii="仿宋_GB2312" w:eastAsia="仿宋_GB2312"/>
                <w:kern w:val="0"/>
                <w:sz w:val="24"/>
                <w:szCs w:val="24"/>
              </w:rPr>
            </w:pPr>
            <w:r>
              <w:rPr>
                <w:rFonts w:hint="eastAsia"/>
                <w:kern w:val="0"/>
                <w:sz w:val="20"/>
                <w:szCs w:val="20"/>
              </w:rPr>
              <w:t>30</w:t>
            </w:r>
          </w:p>
        </w:tc>
        <w:tc>
          <w:tcPr>
            <w:tcW w:w="3150" w:type="dxa"/>
            <w:noWrap/>
            <w:vAlign w:val="center"/>
          </w:tcPr>
          <w:p w14:paraId="4723CFE5">
            <w:pPr>
              <w:spacing w:line="360" w:lineRule="auto"/>
              <w:jc w:val="center"/>
              <w:rPr>
                <w:rFonts w:ascii="仿宋_GB2312" w:eastAsia="仿宋_GB2312"/>
                <w:kern w:val="0"/>
                <w:sz w:val="24"/>
                <w:szCs w:val="24"/>
              </w:rPr>
            </w:pPr>
            <w:r>
              <w:rPr>
                <w:rFonts w:hint="eastAsia"/>
                <w:kern w:val="0"/>
                <w:sz w:val="20"/>
                <w:szCs w:val="20"/>
              </w:rPr>
              <w:t>2026年夏季学期</w:t>
            </w:r>
          </w:p>
        </w:tc>
      </w:tr>
      <w:tr w14:paraId="4668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648" w:type="dxa"/>
            <w:noWrap/>
            <w:vAlign w:val="center"/>
          </w:tcPr>
          <w:p w14:paraId="63426546">
            <w:pPr>
              <w:spacing w:line="360" w:lineRule="auto"/>
              <w:jc w:val="center"/>
              <w:rPr>
                <w:kern w:val="0"/>
                <w:sz w:val="20"/>
                <w:szCs w:val="20"/>
              </w:rPr>
            </w:pPr>
            <w:r>
              <w:rPr>
                <w:rFonts w:hint="eastAsia"/>
                <w:kern w:val="0"/>
                <w:sz w:val="20"/>
                <w:szCs w:val="20"/>
              </w:rPr>
              <w:t>3</w:t>
            </w:r>
          </w:p>
        </w:tc>
        <w:tc>
          <w:tcPr>
            <w:tcW w:w="2946" w:type="dxa"/>
            <w:noWrap/>
            <w:vAlign w:val="center"/>
          </w:tcPr>
          <w:p w14:paraId="11F56A1E">
            <w:pPr>
              <w:spacing w:line="360" w:lineRule="auto"/>
              <w:jc w:val="center"/>
              <w:rPr>
                <w:kern w:val="0"/>
                <w:sz w:val="20"/>
                <w:szCs w:val="20"/>
              </w:rPr>
            </w:pPr>
            <w:r>
              <w:rPr>
                <w:rFonts w:hint="eastAsia"/>
                <w:kern w:val="0"/>
                <w:sz w:val="20"/>
                <w:szCs w:val="20"/>
              </w:rPr>
              <w:t>法治文化宣传实务工作坊</w:t>
            </w:r>
          </w:p>
        </w:tc>
        <w:tc>
          <w:tcPr>
            <w:tcW w:w="870" w:type="dxa"/>
            <w:noWrap/>
            <w:vAlign w:val="center"/>
          </w:tcPr>
          <w:p w14:paraId="63007416">
            <w:pPr>
              <w:spacing w:line="360" w:lineRule="auto"/>
              <w:jc w:val="center"/>
              <w:rPr>
                <w:rFonts w:ascii="仿宋_GB2312" w:eastAsia="仿宋_GB2312"/>
                <w:kern w:val="0"/>
                <w:sz w:val="24"/>
                <w:szCs w:val="24"/>
              </w:rPr>
            </w:pPr>
            <w:r>
              <w:rPr>
                <w:rFonts w:hint="eastAsia"/>
                <w:kern w:val="0"/>
                <w:sz w:val="20"/>
                <w:szCs w:val="20"/>
              </w:rPr>
              <w:t>2</w:t>
            </w:r>
          </w:p>
        </w:tc>
        <w:tc>
          <w:tcPr>
            <w:tcW w:w="852" w:type="dxa"/>
            <w:noWrap/>
            <w:vAlign w:val="center"/>
          </w:tcPr>
          <w:p w14:paraId="7AA15193">
            <w:pPr>
              <w:spacing w:line="360" w:lineRule="auto"/>
              <w:jc w:val="center"/>
              <w:rPr>
                <w:rFonts w:ascii="仿宋_GB2312" w:eastAsia="仿宋_GB2312"/>
                <w:kern w:val="0"/>
                <w:sz w:val="24"/>
                <w:szCs w:val="24"/>
              </w:rPr>
            </w:pPr>
            <w:r>
              <w:rPr>
                <w:rFonts w:hint="eastAsia"/>
                <w:kern w:val="0"/>
                <w:sz w:val="20"/>
                <w:szCs w:val="20"/>
              </w:rPr>
              <w:t>30</w:t>
            </w:r>
          </w:p>
        </w:tc>
        <w:tc>
          <w:tcPr>
            <w:tcW w:w="3150" w:type="dxa"/>
            <w:noWrap/>
            <w:vAlign w:val="center"/>
          </w:tcPr>
          <w:p w14:paraId="04561173">
            <w:pPr>
              <w:spacing w:line="360" w:lineRule="auto"/>
              <w:jc w:val="center"/>
              <w:rPr>
                <w:rFonts w:ascii="仿宋_GB2312" w:eastAsia="仿宋_GB2312"/>
                <w:kern w:val="0"/>
                <w:sz w:val="24"/>
                <w:szCs w:val="24"/>
              </w:rPr>
            </w:pPr>
            <w:r>
              <w:rPr>
                <w:rFonts w:hint="eastAsia"/>
                <w:kern w:val="0"/>
                <w:sz w:val="20"/>
                <w:szCs w:val="20"/>
              </w:rPr>
              <w:t>2026年夏季学期</w:t>
            </w:r>
          </w:p>
        </w:tc>
      </w:tr>
      <w:tr w14:paraId="47194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648" w:type="dxa"/>
            <w:noWrap/>
            <w:vAlign w:val="center"/>
          </w:tcPr>
          <w:p w14:paraId="17D41B50">
            <w:pPr>
              <w:spacing w:line="360" w:lineRule="auto"/>
              <w:jc w:val="center"/>
              <w:rPr>
                <w:kern w:val="0"/>
                <w:sz w:val="20"/>
                <w:szCs w:val="20"/>
              </w:rPr>
            </w:pPr>
            <w:r>
              <w:rPr>
                <w:rFonts w:hint="eastAsia"/>
                <w:kern w:val="0"/>
                <w:sz w:val="20"/>
                <w:szCs w:val="20"/>
              </w:rPr>
              <w:t>4</w:t>
            </w:r>
          </w:p>
        </w:tc>
        <w:tc>
          <w:tcPr>
            <w:tcW w:w="2946" w:type="dxa"/>
            <w:noWrap/>
            <w:vAlign w:val="center"/>
          </w:tcPr>
          <w:p w14:paraId="5E84C38A">
            <w:pPr>
              <w:spacing w:line="360" w:lineRule="auto"/>
              <w:jc w:val="center"/>
              <w:rPr>
                <w:kern w:val="0"/>
                <w:sz w:val="20"/>
                <w:szCs w:val="20"/>
              </w:rPr>
            </w:pPr>
            <w:r>
              <w:rPr>
                <w:rFonts w:hint="eastAsia"/>
                <w:kern w:val="0"/>
                <w:sz w:val="20"/>
                <w:szCs w:val="20"/>
              </w:rPr>
              <w:t>法治传播与舆情分析</w:t>
            </w:r>
          </w:p>
        </w:tc>
        <w:tc>
          <w:tcPr>
            <w:tcW w:w="870" w:type="dxa"/>
            <w:noWrap/>
            <w:vAlign w:val="center"/>
          </w:tcPr>
          <w:p w14:paraId="2E662DB2">
            <w:pPr>
              <w:spacing w:line="360" w:lineRule="auto"/>
              <w:jc w:val="center"/>
              <w:rPr>
                <w:rFonts w:ascii="仿宋_GB2312" w:eastAsia="仿宋_GB2312"/>
                <w:kern w:val="0"/>
                <w:sz w:val="24"/>
                <w:szCs w:val="24"/>
              </w:rPr>
            </w:pPr>
            <w:r>
              <w:rPr>
                <w:rFonts w:hint="eastAsia"/>
                <w:kern w:val="0"/>
                <w:sz w:val="20"/>
                <w:szCs w:val="20"/>
              </w:rPr>
              <w:t>2</w:t>
            </w:r>
          </w:p>
        </w:tc>
        <w:tc>
          <w:tcPr>
            <w:tcW w:w="852" w:type="dxa"/>
            <w:noWrap/>
            <w:vAlign w:val="center"/>
          </w:tcPr>
          <w:p w14:paraId="7836088B">
            <w:pPr>
              <w:spacing w:line="360" w:lineRule="auto"/>
              <w:jc w:val="center"/>
              <w:rPr>
                <w:rFonts w:ascii="仿宋_GB2312" w:eastAsia="仿宋_GB2312"/>
                <w:kern w:val="0"/>
                <w:sz w:val="24"/>
                <w:szCs w:val="24"/>
              </w:rPr>
            </w:pPr>
            <w:r>
              <w:rPr>
                <w:rFonts w:hint="eastAsia"/>
                <w:kern w:val="0"/>
                <w:sz w:val="20"/>
                <w:szCs w:val="20"/>
              </w:rPr>
              <w:t>30</w:t>
            </w:r>
          </w:p>
        </w:tc>
        <w:tc>
          <w:tcPr>
            <w:tcW w:w="3150" w:type="dxa"/>
            <w:noWrap/>
            <w:vAlign w:val="center"/>
          </w:tcPr>
          <w:p w14:paraId="51508BB9">
            <w:pPr>
              <w:spacing w:line="360" w:lineRule="auto"/>
              <w:jc w:val="center"/>
              <w:rPr>
                <w:rFonts w:ascii="仿宋_GB2312" w:eastAsia="仿宋_GB2312"/>
                <w:kern w:val="0"/>
                <w:sz w:val="24"/>
                <w:szCs w:val="24"/>
              </w:rPr>
            </w:pPr>
            <w:r>
              <w:rPr>
                <w:rFonts w:hint="eastAsia"/>
                <w:kern w:val="0"/>
                <w:sz w:val="20"/>
                <w:szCs w:val="20"/>
              </w:rPr>
              <w:t>2026年秋季学期</w:t>
            </w:r>
          </w:p>
        </w:tc>
      </w:tr>
    </w:tbl>
    <w:p w14:paraId="7834817E">
      <w:pPr>
        <w:spacing w:line="560" w:lineRule="exact"/>
        <w:ind w:firstLine="482" w:firstLineChars="200"/>
        <w:rPr>
          <w:rFonts w:ascii="宋体" w:hAnsi="宋体" w:eastAsia="宋体" w:cs="宋体"/>
          <w:b/>
          <w:sz w:val="24"/>
        </w:rPr>
      </w:pPr>
      <w:r>
        <w:rPr>
          <w:rFonts w:hint="eastAsia" w:ascii="宋体" w:hAnsi="宋体" w:eastAsia="宋体" w:cs="宋体"/>
          <w:b/>
          <w:sz w:val="24"/>
        </w:rPr>
        <w:t>附：课程简介</w:t>
      </w:r>
    </w:p>
    <w:p w14:paraId="2AB1F370">
      <w:pPr>
        <w:spacing w:line="560" w:lineRule="exact"/>
        <w:ind w:firstLine="482" w:firstLineChars="200"/>
        <w:rPr>
          <w:rFonts w:ascii="宋体" w:hAnsi="宋体" w:eastAsia="宋体" w:cs="宋体"/>
          <w:b/>
          <w:sz w:val="24"/>
        </w:rPr>
      </w:pPr>
      <w:r>
        <w:rPr>
          <w:rFonts w:hint="eastAsia" w:ascii="宋体" w:hAnsi="宋体" w:eastAsia="宋体" w:cs="宋体"/>
          <w:b/>
          <w:sz w:val="24"/>
        </w:rPr>
        <w:t>1.《法治文化宣传导论》课程</w:t>
      </w:r>
    </w:p>
    <w:p w14:paraId="159F5534">
      <w:pPr>
        <w:spacing w:line="560" w:lineRule="exact"/>
        <w:ind w:firstLine="480" w:firstLineChars="200"/>
        <w:rPr>
          <w:rFonts w:ascii="宋体" w:hAnsi="宋体" w:eastAsia="宋体" w:cs="宋体"/>
          <w:bCs/>
          <w:sz w:val="24"/>
        </w:rPr>
      </w:pPr>
      <w:r>
        <w:rPr>
          <w:rFonts w:hint="eastAsia" w:ascii="宋体" w:hAnsi="宋体" w:eastAsia="宋体" w:cs="宋体"/>
          <w:bCs/>
          <w:sz w:val="24"/>
        </w:rPr>
        <w:t>“法治文化宣传导论”是本微专业的奠基性与整合性核心课程。它创新性地将“法治宣传概论”、“法治文化概论”、“法治传播概论”及“法治宣传实务导引”四大知识模块融汇贯通，旨在为学生构建一个理解法治运行与文化实践的整体性框架。课程不仅系统阐述法治文化的基本理论、历史脉络与核心价值，更重点剖析法治信息在当代社会的传播规律、载体形式与创新策略，并初步引入普法教育、新闻发布、文化产品创作等实务环节的基本要领。通过本课程的学习，学生将能够从理论、传播与实务三重维度，全面认知“法治”如何作为一种文化现象被构建、传播与实践，为后续深入学习与专项技能培养奠定坚实的跨学科基础。</w:t>
      </w:r>
    </w:p>
    <w:p w14:paraId="3BFC4D7A">
      <w:pPr>
        <w:spacing w:line="560" w:lineRule="exact"/>
        <w:ind w:firstLine="482" w:firstLineChars="200"/>
        <w:rPr>
          <w:rFonts w:ascii="宋体" w:hAnsi="宋体" w:eastAsia="宋体" w:cs="宋体"/>
          <w:b/>
          <w:sz w:val="24"/>
        </w:rPr>
      </w:pPr>
      <w:r>
        <w:rPr>
          <w:rFonts w:hint="eastAsia" w:ascii="宋体" w:hAnsi="宋体" w:eastAsia="宋体" w:cs="宋体"/>
          <w:b/>
          <w:sz w:val="24"/>
        </w:rPr>
        <w:t>2.《视频制作与AIGC应用》课程</w:t>
      </w:r>
    </w:p>
    <w:p w14:paraId="04F11BF1">
      <w:pPr>
        <w:spacing w:line="560" w:lineRule="exact"/>
        <w:ind w:firstLine="480" w:firstLineChars="200"/>
        <w:rPr>
          <w:rFonts w:ascii="宋体" w:hAnsi="宋体" w:eastAsia="宋体" w:cs="宋体"/>
          <w:bCs/>
          <w:sz w:val="24"/>
        </w:rPr>
      </w:pPr>
      <w:r>
        <w:rPr>
          <w:rFonts w:hint="eastAsia" w:ascii="宋体" w:hAnsi="宋体" w:eastAsia="宋体" w:cs="宋体"/>
          <w:bCs/>
          <w:sz w:val="24"/>
        </w:rPr>
        <w:t>“视频制作与AIGC应用”是一门融合影视技术与智能创作的前沿实务课程。本课程在系统讲授基础摄影摄像、剪辑与视觉叙事原理的同时，重点引入AIGC工具，教授其在法治内容创作中的具体应用方法。</w:t>
      </w:r>
    </w:p>
    <w:p w14:paraId="0E513CD4">
      <w:pPr>
        <w:spacing w:line="560" w:lineRule="exact"/>
        <w:ind w:firstLine="480" w:firstLineChars="200"/>
        <w:rPr>
          <w:szCs w:val="21"/>
        </w:rPr>
      </w:pPr>
      <w:r>
        <w:rPr>
          <w:rFonts w:hint="eastAsia" w:ascii="宋体" w:hAnsi="宋体" w:eastAsia="宋体" w:cs="宋体"/>
          <w:bCs/>
          <w:sz w:val="24"/>
        </w:rPr>
        <w:t>课程聚焦于如何利用智能工具，辅助完成法治新闻现场报道、典型案例图解、普法短视频、法治人物微纪录片等作品的策划、拍摄与高效制作。学生将通过实践，学习运用AIGC技术进行脚本构思、素材增强、快速剪辑及多平台适配，培养运用人工智能技术产出符合法治精神、兼具专业性与传播力的新媒体内容的核心能力，以适应法治文化传播领域的数字化发展趋势。</w:t>
      </w:r>
    </w:p>
    <w:p w14:paraId="030DC953">
      <w:pPr>
        <w:spacing w:line="560" w:lineRule="exact"/>
        <w:ind w:firstLine="482" w:firstLineChars="200"/>
        <w:rPr>
          <w:rFonts w:ascii="宋体" w:hAnsi="宋体" w:eastAsia="宋体" w:cs="宋体"/>
          <w:b/>
          <w:sz w:val="24"/>
        </w:rPr>
      </w:pPr>
      <w:r>
        <w:rPr>
          <w:rFonts w:hint="eastAsia" w:ascii="宋体" w:hAnsi="宋体" w:eastAsia="宋体" w:cs="宋体"/>
          <w:b/>
          <w:sz w:val="24"/>
        </w:rPr>
        <w:t>3.《法治文化宣传实务工作坊》课程</w:t>
      </w:r>
    </w:p>
    <w:p w14:paraId="07F105D7">
      <w:pPr>
        <w:spacing w:line="560" w:lineRule="exact"/>
        <w:ind w:firstLine="480" w:firstLineChars="200"/>
        <w:rPr>
          <w:rFonts w:ascii="宋体" w:hAnsi="宋体" w:eastAsia="宋体" w:cs="宋体"/>
          <w:bCs/>
          <w:sz w:val="24"/>
        </w:rPr>
      </w:pPr>
      <w:r>
        <w:rPr>
          <w:rFonts w:hint="eastAsia" w:ascii="宋体" w:hAnsi="宋体" w:eastAsia="宋体" w:cs="宋体"/>
          <w:bCs/>
          <w:sz w:val="24"/>
        </w:rPr>
        <w:t>“法治文化宣传实务工作坊”是上海政法学院法治宣传教育学院与实务部门协同打造的特色微专业课程，旨在培养兼具法律素养与传播能力的复合型人才。课程聚焦法治文化作品的创作与传播，通过案例分析、实地调研和项目实践，引导学生掌握微电影、微视频等法治宣传作品的策划、制作与推广技能。学生将参与到真实项目之中，在法院、媒体等实务导师的指导下，完成符合国家级征集标准的原创作品，提升法治传播实效性与创新力。课程注重产教融合，以成果为导向，从而为法治宣传事业输送专业化、实践型人才。</w:t>
      </w:r>
    </w:p>
    <w:p w14:paraId="531E042C">
      <w:pPr>
        <w:spacing w:line="560" w:lineRule="exact"/>
        <w:ind w:firstLine="482" w:firstLineChars="200"/>
        <w:rPr>
          <w:rFonts w:ascii="宋体" w:hAnsi="宋体" w:eastAsia="宋体" w:cs="宋体"/>
          <w:b/>
          <w:sz w:val="24"/>
        </w:rPr>
      </w:pPr>
      <w:r>
        <w:rPr>
          <w:rFonts w:hint="eastAsia" w:ascii="宋体" w:hAnsi="宋体" w:eastAsia="宋体" w:cs="宋体"/>
          <w:b/>
          <w:sz w:val="24"/>
        </w:rPr>
        <w:t>4.《法治传播与舆情分析》课程</w:t>
      </w:r>
    </w:p>
    <w:p w14:paraId="4529BE51">
      <w:pPr>
        <w:spacing w:line="560" w:lineRule="exact"/>
        <w:ind w:firstLine="480" w:firstLineChars="200"/>
        <w:rPr>
          <w:rFonts w:ascii="宋体" w:hAnsi="宋体" w:eastAsia="宋体" w:cs="宋体"/>
          <w:bCs/>
          <w:sz w:val="24"/>
        </w:rPr>
      </w:pPr>
      <w:r>
        <w:rPr>
          <w:rFonts w:hint="eastAsia" w:ascii="宋体" w:hAnsi="宋体" w:eastAsia="宋体" w:cs="宋体"/>
          <w:bCs/>
          <w:sz w:val="24"/>
        </w:rPr>
        <w:t>“法治传播与舆情分析”旨在培养学生在法治文化传播与公共舆情分析领域的理论素养与实践能力。课程聚焦于法治文化在多元媒介环境中的传播机制、舆情生成规律及社会效应，引导学生深入理解法治精神与传播实践的互动关系，掌握舆情监测、分析与应对的专业方法。</w:t>
      </w:r>
    </w:p>
    <w:p w14:paraId="794C3A72">
      <w:pPr>
        <w:spacing w:line="560" w:lineRule="exact"/>
        <w:ind w:firstLine="480" w:firstLineChars="200"/>
        <w:rPr>
          <w:rFonts w:ascii="宋体" w:hAnsi="宋体" w:eastAsia="宋体" w:cs="宋体"/>
          <w:bCs/>
          <w:sz w:val="24"/>
        </w:rPr>
      </w:pPr>
      <w:r>
        <w:rPr>
          <w:rFonts w:hint="eastAsia" w:ascii="宋体" w:hAnsi="宋体" w:eastAsia="宋体" w:cs="宋体"/>
          <w:bCs/>
          <w:sz w:val="24"/>
        </w:rPr>
        <w:t>课程内容涵盖法治传播的理论脉络、媒介表达策略、舆情演化机理、数据采集与分析方法、舆论引导策略等关键议题。通过案例研讨、模拟推演与实操训练，学生将系统学习如何运用传播学、社会学与法学交叉视角，解读法治事件中的舆论动态，提升在法治宣传、舆情研判、公共关系等领域的应用能力。</w:t>
      </w:r>
    </w:p>
    <w:p w14:paraId="3D606030">
      <w:pPr>
        <w:spacing w:line="560" w:lineRule="exact"/>
        <w:ind w:firstLine="480" w:firstLineChars="200"/>
        <w:rPr>
          <w:rFonts w:ascii="宋体" w:hAnsi="宋体" w:eastAsia="宋体" w:cs="宋体"/>
          <w:bCs/>
          <w:sz w:val="24"/>
        </w:rPr>
      </w:pPr>
    </w:p>
    <w:p w14:paraId="6CDCCD8F">
      <w:pPr>
        <w:spacing w:line="360" w:lineRule="auto"/>
        <w:ind w:firstLine="480" w:firstLineChars="200"/>
        <w:rPr>
          <w:rFonts w:ascii="宋体" w:hAnsi="宋体" w:eastAsia="宋体"/>
          <w:color w:val="4D4D4D"/>
          <w:sz w:val="24"/>
          <w:szCs w:val="24"/>
        </w:rPr>
      </w:pPr>
      <w:r>
        <w:rPr>
          <w:rStyle w:val="11"/>
          <w:rFonts w:hint="eastAsia" w:ascii="黑体" w:hAnsi="黑体" w:eastAsia="黑体" w:cs="黑体"/>
          <w:b w:val="0"/>
          <w:bCs w:val="0"/>
          <w:color w:val="4D4D4D"/>
          <w:sz w:val="24"/>
          <w:szCs w:val="24"/>
        </w:rPr>
        <w:t>五、师资力量</w:t>
      </w:r>
    </w:p>
    <w:p w14:paraId="0C547643">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郭炜华    教授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上海政法学院上海纪录片学院（法治宣传教育学院）</w:t>
      </w:r>
    </w:p>
    <w:p w14:paraId="2E6DEABA">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邢虹文    教授   上海政法学院上海纪录片学院（法治宣传教育学院）</w:t>
      </w:r>
    </w:p>
    <w:p w14:paraId="0FD9AC7E">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张西恒    副教授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上海政法学院法律学院</w:t>
      </w:r>
    </w:p>
    <w:p w14:paraId="352D1FAF">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戴楠</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讲师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上海政法学院上海纪录片学院（法治宣传教育学院）</w:t>
      </w:r>
    </w:p>
    <w:p w14:paraId="0E8AB3B1">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安康</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讲师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上海政法学院上海纪录片学院（法治宣传教育学院）</w:t>
      </w:r>
    </w:p>
    <w:p w14:paraId="47157E44">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武骏</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讲师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上海政法学院上海纪录片学院（法治宣传教育学院）</w:t>
      </w:r>
    </w:p>
    <w:p w14:paraId="233D1F95">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张警予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讲师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上海政法学院上海纪录片学院（法治宣传教育学院）</w:t>
      </w:r>
    </w:p>
    <w:p w14:paraId="0EE51C3C">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严剑漪</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三级调研员    上海市浦东新区人民法院</w:t>
      </w:r>
    </w:p>
    <w:p w14:paraId="613AA788">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周丹彤    一级主任科员  上海市浦东新区人民法院</w:t>
      </w:r>
    </w:p>
    <w:p w14:paraId="6A6D5047">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陈卫峰    一级主任科员  上海市浦东新区人民法院</w:t>
      </w:r>
    </w:p>
    <w:p w14:paraId="3CFD5D86">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陈宏      高级编辑      中国教育电视台</w:t>
      </w:r>
    </w:p>
    <w:p w14:paraId="2305E6EC">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姚贇勤    二级导演      上海教育电视台</w:t>
      </w:r>
    </w:p>
    <w:p w14:paraId="7FA70921">
      <w:pPr>
        <w:spacing w:line="360" w:lineRule="auto"/>
        <w:ind w:firstLine="480" w:firstLineChars="200"/>
        <w:rPr>
          <w:rStyle w:val="11"/>
          <w:rFonts w:ascii="宋体" w:hAnsi="宋体" w:eastAsia="宋体"/>
          <w:b w:val="0"/>
          <w:bCs w:val="0"/>
          <w:sz w:val="24"/>
          <w:szCs w:val="24"/>
        </w:rPr>
      </w:pPr>
    </w:p>
    <w:p w14:paraId="04537687">
      <w:pPr>
        <w:spacing w:line="360" w:lineRule="auto"/>
        <w:ind w:firstLine="480" w:firstLineChars="200"/>
        <w:rPr>
          <w:rStyle w:val="11"/>
          <w:rFonts w:ascii="黑体" w:hAnsi="黑体" w:eastAsia="黑体" w:cs="黑体"/>
          <w:b w:val="0"/>
          <w:bCs w:val="0"/>
          <w:color w:val="000000" w:themeColor="text1"/>
          <w:sz w:val="24"/>
          <w:szCs w:val="24"/>
        </w:rPr>
      </w:pPr>
      <w:r>
        <w:rPr>
          <w:rStyle w:val="11"/>
          <w:rFonts w:hint="eastAsia" w:ascii="黑体" w:hAnsi="黑体" w:eastAsia="黑体" w:cs="黑体"/>
          <w:b w:val="0"/>
          <w:bCs w:val="0"/>
          <w:color w:val="000000" w:themeColor="text1"/>
          <w:sz w:val="24"/>
          <w:szCs w:val="24"/>
        </w:rPr>
        <w:t>六、学制及证书</w:t>
      </w:r>
    </w:p>
    <w:p w14:paraId="0C080E81">
      <w:pPr>
        <w:spacing w:line="360" w:lineRule="auto"/>
        <w:ind w:firstLine="480" w:firstLineChars="200"/>
        <w:rPr>
          <w:rFonts w:ascii="宋体" w:hAnsi="宋体" w:eastAsia="宋体"/>
          <w:color w:val="000000" w:themeColor="text1"/>
          <w:sz w:val="24"/>
          <w:szCs w:val="24"/>
        </w:rPr>
      </w:pPr>
      <w:r>
        <w:rPr>
          <w:rFonts w:hint="eastAsia" w:ascii="宋体" w:hAnsi="宋体" w:eastAsia="宋体"/>
          <w:color w:val="000000" w:themeColor="text1"/>
          <w:sz w:val="24"/>
          <w:szCs w:val="24"/>
        </w:rPr>
        <w:t>本微专业修读年限为两个学期。完成全部课程修满学分的同学可获得上海政法学院颁发的“</w:t>
      </w:r>
      <w:r>
        <w:rPr>
          <w:rFonts w:hint="eastAsia" w:ascii="黑体" w:eastAsia="黑体"/>
          <w:b/>
          <w:color w:val="000000" w:themeColor="text1"/>
          <w:sz w:val="24"/>
        </w:rPr>
        <w:t>法治文化宣传</w:t>
      </w:r>
      <w:r>
        <w:rPr>
          <w:rFonts w:hint="eastAsia" w:ascii="宋体" w:hAnsi="宋体" w:eastAsia="宋体"/>
          <w:color w:val="000000" w:themeColor="text1"/>
          <w:sz w:val="24"/>
          <w:szCs w:val="24"/>
        </w:rPr>
        <w:t>微专业结业证书”。</w:t>
      </w:r>
    </w:p>
    <w:p w14:paraId="39601C95">
      <w:pPr>
        <w:spacing w:line="360" w:lineRule="auto"/>
        <w:ind w:firstLine="480" w:firstLineChars="200"/>
        <w:rPr>
          <w:rStyle w:val="11"/>
          <w:rFonts w:ascii="黑体" w:hAnsi="黑体" w:eastAsia="黑体" w:cs="黑体"/>
          <w:b w:val="0"/>
          <w:bCs w:val="0"/>
          <w:color w:val="000000" w:themeColor="text1"/>
          <w:sz w:val="24"/>
          <w:szCs w:val="24"/>
        </w:rPr>
      </w:pPr>
      <w:r>
        <w:rPr>
          <w:rStyle w:val="11"/>
          <w:rFonts w:hint="eastAsia" w:ascii="黑体" w:hAnsi="黑体" w:eastAsia="黑体" w:cs="黑体"/>
          <w:b w:val="0"/>
          <w:bCs w:val="0"/>
          <w:color w:val="000000" w:themeColor="text1"/>
          <w:sz w:val="24"/>
          <w:szCs w:val="24"/>
        </w:rPr>
        <w:t>七、报名时间与办法</w:t>
      </w:r>
    </w:p>
    <w:p w14:paraId="4317B854">
      <w:pPr>
        <w:spacing w:line="360" w:lineRule="auto"/>
        <w:ind w:firstLine="482" w:firstLineChars="200"/>
        <w:rPr>
          <w:rFonts w:ascii="宋体" w:hAnsi="宋体" w:eastAsia="宋体"/>
          <w:color w:val="000000" w:themeColor="text1"/>
          <w:sz w:val="24"/>
          <w:szCs w:val="24"/>
        </w:rPr>
      </w:pPr>
      <w:r>
        <w:rPr>
          <w:rFonts w:hint="eastAsia" w:ascii="宋体" w:hAnsi="宋体" w:eastAsia="宋体"/>
          <w:b/>
          <w:color w:val="000000" w:themeColor="text1"/>
          <w:sz w:val="24"/>
          <w:szCs w:val="24"/>
        </w:rPr>
        <w:t>报名截止时间：</w:t>
      </w:r>
      <w:r>
        <w:rPr>
          <w:rFonts w:hint="eastAsia" w:ascii="宋体" w:hAnsi="宋体" w:eastAsia="宋体"/>
          <w:color w:val="000000" w:themeColor="text1"/>
          <w:sz w:val="24"/>
          <w:szCs w:val="24"/>
        </w:rPr>
        <w:t>2026年5月1</w:t>
      </w:r>
      <w:r>
        <w:rPr>
          <w:rFonts w:hint="eastAsia" w:ascii="宋体" w:hAnsi="宋体" w:eastAsia="宋体"/>
          <w:color w:val="000000" w:themeColor="text1"/>
          <w:sz w:val="24"/>
          <w:szCs w:val="24"/>
          <w:lang w:val="en-US" w:eastAsia="zh-CN"/>
        </w:rPr>
        <w:t>2</w:t>
      </w:r>
      <w:r>
        <w:rPr>
          <w:rFonts w:hint="eastAsia" w:ascii="宋体" w:hAnsi="宋体" w:eastAsia="宋体"/>
          <w:color w:val="000000" w:themeColor="text1"/>
          <w:sz w:val="24"/>
          <w:szCs w:val="24"/>
        </w:rPr>
        <w:t>日（星期</w:t>
      </w:r>
      <w:r>
        <w:rPr>
          <w:rFonts w:hint="eastAsia" w:ascii="宋体" w:hAnsi="宋体" w:eastAsia="宋体"/>
          <w:color w:val="000000" w:themeColor="text1"/>
          <w:sz w:val="24"/>
          <w:szCs w:val="24"/>
          <w:lang w:val="en-US" w:eastAsia="zh-CN"/>
        </w:rPr>
        <w:t>二</w:t>
      </w:r>
      <w:r>
        <w:rPr>
          <w:rFonts w:hint="eastAsia" w:ascii="宋体" w:hAnsi="宋体" w:eastAsia="宋体"/>
          <w:color w:val="000000" w:themeColor="text1"/>
          <w:sz w:val="24"/>
          <w:szCs w:val="24"/>
        </w:rPr>
        <w:t>）</w:t>
      </w:r>
      <w:bookmarkStart w:id="0" w:name="_GoBack"/>
      <w:bookmarkEnd w:id="0"/>
      <w:r>
        <w:rPr>
          <w:rFonts w:hint="eastAsia" w:ascii="宋体" w:hAnsi="宋体" w:eastAsia="宋体"/>
          <w:color w:val="000000" w:themeColor="text1"/>
          <w:sz w:val="24"/>
          <w:szCs w:val="24"/>
        </w:rPr>
        <w:t>。</w:t>
      </w:r>
    </w:p>
    <w:p w14:paraId="7565ADE5">
      <w:pPr>
        <w:spacing w:line="360" w:lineRule="auto"/>
        <w:ind w:firstLine="482" w:firstLineChars="200"/>
        <w:rPr>
          <w:rFonts w:ascii="宋体" w:hAnsi="宋体" w:eastAsia="宋体"/>
          <w:color w:val="4D4D4D"/>
          <w:sz w:val="24"/>
          <w:szCs w:val="24"/>
        </w:rPr>
      </w:pPr>
      <w:r>
        <w:rPr>
          <w:rFonts w:hint="eastAsia" w:ascii="宋体" w:hAnsi="宋体" w:eastAsia="宋体"/>
          <w:b/>
          <w:color w:val="000000" w:themeColor="text1"/>
          <w:sz w:val="24"/>
          <w:szCs w:val="24"/>
        </w:rPr>
        <w:t>报名办法：</w:t>
      </w:r>
      <w:r>
        <w:rPr>
          <w:rFonts w:hint="eastAsia" w:ascii="宋体" w:hAnsi="宋体" w:eastAsia="宋体"/>
          <w:color w:val="4D4D4D"/>
          <w:sz w:val="24"/>
          <w:szCs w:val="24"/>
        </w:rPr>
        <w:t>请符合报名条件的同学将《上海政法学院本科生修读微专业申请表》及本人成绩单纸质版提交至上海纪录片学院（法治宣传教育学院）A5-304办公室，同时将电子版发送到Sdashupl@163.com。</w:t>
      </w:r>
    </w:p>
    <w:p w14:paraId="595CA9C0">
      <w:pPr>
        <w:spacing w:line="360" w:lineRule="auto"/>
        <w:ind w:firstLine="482" w:firstLineChars="200"/>
        <w:rPr>
          <w:rFonts w:ascii="宋体" w:hAnsi="宋体" w:eastAsia="宋体"/>
          <w:color w:val="4D4D4D"/>
          <w:sz w:val="24"/>
          <w:szCs w:val="24"/>
        </w:rPr>
      </w:pPr>
      <w:r>
        <w:rPr>
          <w:rFonts w:hint="eastAsia" w:ascii="宋体" w:hAnsi="宋体" w:eastAsia="宋体"/>
          <w:b/>
          <w:color w:val="4D4D4D"/>
          <w:sz w:val="24"/>
          <w:szCs w:val="24"/>
        </w:rPr>
        <w:t>咨询联系人：</w:t>
      </w:r>
      <w:r>
        <w:rPr>
          <w:rFonts w:hint="eastAsia" w:ascii="宋体" w:hAnsi="宋体" w:eastAsia="宋体"/>
          <w:color w:val="4D4D4D"/>
          <w:sz w:val="24"/>
          <w:szCs w:val="24"/>
        </w:rPr>
        <w:t>余老师；联系方式：021-39227557。</w:t>
      </w:r>
    </w:p>
    <w:p w14:paraId="50713FC2">
      <w:pPr>
        <w:spacing w:line="360" w:lineRule="auto"/>
        <w:ind w:firstLine="480" w:firstLineChars="200"/>
        <w:rPr>
          <w:rFonts w:ascii="宋体" w:hAnsi="宋体" w:eastAsia="宋体"/>
          <w:color w:val="4D4D4D"/>
          <w:sz w:val="24"/>
          <w:szCs w:val="24"/>
        </w:rPr>
      </w:pPr>
    </w:p>
    <w:p w14:paraId="5A4A7835">
      <w:pPr>
        <w:spacing w:line="360" w:lineRule="auto"/>
        <w:rPr>
          <w:rFonts w:ascii="宋体" w:hAnsi="宋体" w:eastAsia="宋体"/>
          <w:color w:val="4D4D4D"/>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64A7A5-14EA-4F2B-9178-BCB7F95BD3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A8277C95-75C5-4655-9794-91543C72F931}"/>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3" w:fontKey="{29B14587-2592-4BFC-B842-B71E8DD21782}"/>
  </w:font>
  <w:font w:name="仿宋_GB2312">
    <w:altName w:val="仿宋"/>
    <w:panose1 w:val="02010609030101010101"/>
    <w:charset w:val="86"/>
    <w:family w:val="modern"/>
    <w:pitch w:val="default"/>
    <w:sig w:usb0="00000000" w:usb1="00000000" w:usb2="00000010" w:usb3="00000000" w:csb0="00040000" w:csb1="00000000"/>
    <w:embedRegular r:id="rId4" w:fontKey="{A61F8605-ACE7-470C-B133-53FB735795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759610"/>
    </w:sdtPr>
    <w:sdtContent>
      <w:sdt>
        <w:sdtPr>
          <w:id w:val="171357217"/>
        </w:sdtPr>
        <w:sdtContent>
          <w:p w14:paraId="02F142F7">
            <w:pPr>
              <w:pStyle w:val="4"/>
              <w:jc w:val="center"/>
            </w:pPr>
            <w:r>
              <w:rPr>
                <w:b/>
                <w:sz w:val="24"/>
                <w:szCs w:val="24"/>
              </w:rPr>
              <w:fldChar w:fldCharType="begin"/>
            </w:r>
            <w:r>
              <w:rPr>
                <w:b/>
              </w:rPr>
              <w:instrText xml:space="preserve">PAGE</w:instrText>
            </w:r>
            <w:r>
              <w:rPr>
                <w:b/>
                <w:sz w:val="24"/>
                <w:szCs w:val="24"/>
              </w:rPr>
              <w:fldChar w:fldCharType="separate"/>
            </w:r>
            <w:r>
              <w:rPr>
                <w:b/>
              </w:rPr>
              <w:t>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4BEFAE2">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U3OGNlYzQzZDU3MTczYmFjNTQzZmFiNjBiZTMxNGEifQ=="/>
  </w:docVars>
  <w:rsids>
    <w:rsidRoot w:val="00D6042A"/>
    <w:rsid w:val="000369A0"/>
    <w:rsid w:val="000A439B"/>
    <w:rsid w:val="000D1884"/>
    <w:rsid w:val="000D2EC8"/>
    <w:rsid w:val="00100404"/>
    <w:rsid w:val="00124B60"/>
    <w:rsid w:val="00136B70"/>
    <w:rsid w:val="001717FE"/>
    <w:rsid w:val="00174DA6"/>
    <w:rsid w:val="001833A3"/>
    <w:rsid w:val="001958E2"/>
    <w:rsid w:val="00196538"/>
    <w:rsid w:val="001B2C28"/>
    <w:rsid w:val="001B3FF4"/>
    <w:rsid w:val="001C5EE6"/>
    <w:rsid w:val="001D2869"/>
    <w:rsid w:val="001F16B7"/>
    <w:rsid w:val="00206BF7"/>
    <w:rsid w:val="002A77F6"/>
    <w:rsid w:val="002B60F4"/>
    <w:rsid w:val="002C004A"/>
    <w:rsid w:val="002D18D4"/>
    <w:rsid w:val="002D5AF7"/>
    <w:rsid w:val="002F59A7"/>
    <w:rsid w:val="00321D50"/>
    <w:rsid w:val="00321F30"/>
    <w:rsid w:val="0036058F"/>
    <w:rsid w:val="00364F4F"/>
    <w:rsid w:val="003950AD"/>
    <w:rsid w:val="003C3A12"/>
    <w:rsid w:val="003E777B"/>
    <w:rsid w:val="00466C03"/>
    <w:rsid w:val="004A7969"/>
    <w:rsid w:val="004B36DF"/>
    <w:rsid w:val="004F6FA7"/>
    <w:rsid w:val="00500795"/>
    <w:rsid w:val="00520A98"/>
    <w:rsid w:val="00542F14"/>
    <w:rsid w:val="00547347"/>
    <w:rsid w:val="00551157"/>
    <w:rsid w:val="005551C7"/>
    <w:rsid w:val="00560A26"/>
    <w:rsid w:val="00584C13"/>
    <w:rsid w:val="00587132"/>
    <w:rsid w:val="005A0479"/>
    <w:rsid w:val="005A04AD"/>
    <w:rsid w:val="005B2DF7"/>
    <w:rsid w:val="005D27BE"/>
    <w:rsid w:val="005D29E0"/>
    <w:rsid w:val="005D6EEC"/>
    <w:rsid w:val="005E2780"/>
    <w:rsid w:val="005F42DB"/>
    <w:rsid w:val="006021FF"/>
    <w:rsid w:val="0060763F"/>
    <w:rsid w:val="00611EAB"/>
    <w:rsid w:val="00624A8A"/>
    <w:rsid w:val="00645D4C"/>
    <w:rsid w:val="006531F2"/>
    <w:rsid w:val="006645DF"/>
    <w:rsid w:val="00693139"/>
    <w:rsid w:val="00694137"/>
    <w:rsid w:val="00696DDA"/>
    <w:rsid w:val="006A5178"/>
    <w:rsid w:val="00707B89"/>
    <w:rsid w:val="007271D4"/>
    <w:rsid w:val="007B1564"/>
    <w:rsid w:val="007B4B0C"/>
    <w:rsid w:val="007B7FCC"/>
    <w:rsid w:val="007D35CA"/>
    <w:rsid w:val="007D77CC"/>
    <w:rsid w:val="007F0CCE"/>
    <w:rsid w:val="00820AF1"/>
    <w:rsid w:val="008219D0"/>
    <w:rsid w:val="00850E52"/>
    <w:rsid w:val="00851B30"/>
    <w:rsid w:val="00861BE1"/>
    <w:rsid w:val="00866FCC"/>
    <w:rsid w:val="008A4C39"/>
    <w:rsid w:val="008B42A9"/>
    <w:rsid w:val="008D4DAC"/>
    <w:rsid w:val="008E5C65"/>
    <w:rsid w:val="009079DE"/>
    <w:rsid w:val="009250A1"/>
    <w:rsid w:val="00927D63"/>
    <w:rsid w:val="00931915"/>
    <w:rsid w:val="00933DC7"/>
    <w:rsid w:val="00972539"/>
    <w:rsid w:val="009775BF"/>
    <w:rsid w:val="00981B93"/>
    <w:rsid w:val="00987E04"/>
    <w:rsid w:val="009A6F33"/>
    <w:rsid w:val="009B3317"/>
    <w:rsid w:val="009E6F37"/>
    <w:rsid w:val="009F7003"/>
    <w:rsid w:val="00A27E09"/>
    <w:rsid w:val="00A45DDC"/>
    <w:rsid w:val="00A653CA"/>
    <w:rsid w:val="00A878CB"/>
    <w:rsid w:val="00A92A73"/>
    <w:rsid w:val="00AC1255"/>
    <w:rsid w:val="00B25551"/>
    <w:rsid w:val="00B25EDA"/>
    <w:rsid w:val="00B825E9"/>
    <w:rsid w:val="00B87E6D"/>
    <w:rsid w:val="00B9639D"/>
    <w:rsid w:val="00BB5CBD"/>
    <w:rsid w:val="00BC140C"/>
    <w:rsid w:val="00BC44F5"/>
    <w:rsid w:val="00BD3764"/>
    <w:rsid w:val="00BD5B05"/>
    <w:rsid w:val="00C0429F"/>
    <w:rsid w:val="00C27084"/>
    <w:rsid w:val="00C31B99"/>
    <w:rsid w:val="00C5719B"/>
    <w:rsid w:val="00C87C62"/>
    <w:rsid w:val="00CA6C03"/>
    <w:rsid w:val="00CE1DA9"/>
    <w:rsid w:val="00CE6A49"/>
    <w:rsid w:val="00D10C18"/>
    <w:rsid w:val="00D15924"/>
    <w:rsid w:val="00D232F5"/>
    <w:rsid w:val="00D6042A"/>
    <w:rsid w:val="00D82EF9"/>
    <w:rsid w:val="00DC2D76"/>
    <w:rsid w:val="00DE1F9B"/>
    <w:rsid w:val="00DE5F17"/>
    <w:rsid w:val="00DF5444"/>
    <w:rsid w:val="00E02D01"/>
    <w:rsid w:val="00E05D5D"/>
    <w:rsid w:val="00E427B8"/>
    <w:rsid w:val="00E64D57"/>
    <w:rsid w:val="00EC3799"/>
    <w:rsid w:val="00EC49F4"/>
    <w:rsid w:val="00F04184"/>
    <w:rsid w:val="00F07C39"/>
    <w:rsid w:val="00F10424"/>
    <w:rsid w:val="00F10FA3"/>
    <w:rsid w:val="00F17F3E"/>
    <w:rsid w:val="00F2693F"/>
    <w:rsid w:val="00F331FE"/>
    <w:rsid w:val="00F33C07"/>
    <w:rsid w:val="00F74835"/>
    <w:rsid w:val="00FA7389"/>
    <w:rsid w:val="00FB0011"/>
    <w:rsid w:val="00FC351C"/>
    <w:rsid w:val="00FC3A14"/>
    <w:rsid w:val="00FD54F9"/>
    <w:rsid w:val="00FD6982"/>
    <w:rsid w:val="00FE376A"/>
    <w:rsid w:val="0134430B"/>
    <w:rsid w:val="02502671"/>
    <w:rsid w:val="02B32C00"/>
    <w:rsid w:val="02E95776"/>
    <w:rsid w:val="05900FD6"/>
    <w:rsid w:val="05DA01A8"/>
    <w:rsid w:val="06170F1E"/>
    <w:rsid w:val="066E509E"/>
    <w:rsid w:val="06BA27AF"/>
    <w:rsid w:val="06BE059A"/>
    <w:rsid w:val="06D432E7"/>
    <w:rsid w:val="07707311"/>
    <w:rsid w:val="0825634E"/>
    <w:rsid w:val="08A96637"/>
    <w:rsid w:val="08FA3336"/>
    <w:rsid w:val="0AAB0D8C"/>
    <w:rsid w:val="0AF838A6"/>
    <w:rsid w:val="0B3F14D4"/>
    <w:rsid w:val="0C625CD5"/>
    <w:rsid w:val="0EE04D7C"/>
    <w:rsid w:val="0F7A0D2D"/>
    <w:rsid w:val="0F9F69E6"/>
    <w:rsid w:val="10A047C3"/>
    <w:rsid w:val="116E2B13"/>
    <w:rsid w:val="11D11FE9"/>
    <w:rsid w:val="11E15093"/>
    <w:rsid w:val="133833D9"/>
    <w:rsid w:val="1367781A"/>
    <w:rsid w:val="13B3480E"/>
    <w:rsid w:val="13EB044B"/>
    <w:rsid w:val="152F4368"/>
    <w:rsid w:val="15995C85"/>
    <w:rsid w:val="167E55A7"/>
    <w:rsid w:val="16D305BD"/>
    <w:rsid w:val="18616F2E"/>
    <w:rsid w:val="18F71640"/>
    <w:rsid w:val="190F698A"/>
    <w:rsid w:val="1AD85233"/>
    <w:rsid w:val="1B723200"/>
    <w:rsid w:val="1C1A124E"/>
    <w:rsid w:val="1C406E5A"/>
    <w:rsid w:val="1CC76D35"/>
    <w:rsid w:val="1FE3088A"/>
    <w:rsid w:val="1FE741BD"/>
    <w:rsid w:val="20124FB2"/>
    <w:rsid w:val="20580C17"/>
    <w:rsid w:val="20FF2618"/>
    <w:rsid w:val="22145011"/>
    <w:rsid w:val="232F7706"/>
    <w:rsid w:val="238258DF"/>
    <w:rsid w:val="23BE0FC7"/>
    <w:rsid w:val="24885842"/>
    <w:rsid w:val="25B44AF4"/>
    <w:rsid w:val="25CC175F"/>
    <w:rsid w:val="25F34F3E"/>
    <w:rsid w:val="26AE2FAD"/>
    <w:rsid w:val="270A6E69"/>
    <w:rsid w:val="27C6290A"/>
    <w:rsid w:val="28D14C84"/>
    <w:rsid w:val="290703C0"/>
    <w:rsid w:val="290A2CCA"/>
    <w:rsid w:val="296C74E1"/>
    <w:rsid w:val="2A522B7B"/>
    <w:rsid w:val="2B577D1D"/>
    <w:rsid w:val="2D9E60D7"/>
    <w:rsid w:val="2E163EBF"/>
    <w:rsid w:val="2E921798"/>
    <w:rsid w:val="2FB90FA6"/>
    <w:rsid w:val="300C37CC"/>
    <w:rsid w:val="30444929"/>
    <w:rsid w:val="305667F5"/>
    <w:rsid w:val="309F019C"/>
    <w:rsid w:val="31E0622B"/>
    <w:rsid w:val="3330332D"/>
    <w:rsid w:val="33997124"/>
    <w:rsid w:val="348B6F49"/>
    <w:rsid w:val="35B375BA"/>
    <w:rsid w:val="381476C1"/>
    <w:rsid w:val="38163439"/>
    <w:rsid w:val="38207DBA"/>
    <w:rsid w:val="3A106036"/>
    <w:rsid w:val="3A5C70FE"/>
    <w:rsid w:val="3A7C154E"/>
    <w:rsid w:val="3BA54333"/>
    <w:rsid w:val="3BF03FA1"/>
    <w:rsid w:val="3C2C4182"/>
    <w:rsid w:val="3CBD2DBB"/>
    <w:rsid w:val="3CC605AD"/>
    <w:rsid w:val="3D65451B"/>
    <w:rsid w:val="3DDC3E19"/>
    <w:rsid w:val="3E700967"/>
    <w:rsid w:val="3EA03A5D"/>
    <w:rsid w:val="41C060DD"/>
    <w:rsid w:val="41F36599"/>
    <w:rsid w:val="43544E16"/>
    <w:rsid w:val="44531571"/>
    <w:rsid w:val="447251C8"/>
    <w:rsid w:val="44D73F50"/>
    <w:rsid w:val="450E3843"/>
    <w:rsid w:val="462811E1"/>
    <w:rsid w:val="464E4809"/>
    <w:rsid w:val="467A5823"/>
    <w:rsid w:val="47FB7F56"/>
    <w:rsid w:val="48082673"/>
    <w:rsid w:val="486A6E89"/>
    <w:rsid w:val="48932602"/>
    <w:rsid w:val="49091A07"/>
    <w:rsid w:val="494B6CBB"/>
    <w:rsid w:val="4AA246B9"/>
    <w:rsid w:val="4AE34123"/>
    <w:rsid w:val="4B1C3DB1"/>
    <w:rsid w:val="4B944949"/>
    <w:rsid w:val="4C6A56AA"/>
    <w:rsid w:val="4D27359B"/>
    <w:rsid w:val="4E1C6E78"/>
    <w:rsid w:val="4F253B0A"/>
    <w:rsid w:val="4FCE7CFE"/>
    <w:rsid w:val="505A77E4"/>
    <w:rsid w:val="51090512"/>
    <w:rsid w:val="514C537E"/>
    <w:rsid w:val="51826FF2"/>
    <w:rsid w:val="51DA6E2E"/>
    <w:rsid w:val="53656BCB"/>
    <w:rsid w:val="54FC70BB"/>
    <w:rsid w:val="552C79A0"/>
    <w:rsid w:val="555962BC"/>
    <w:rsid w:val="55D04B10"/>
    <w:rsid w:val="570E07A3"/>
    <w:rsid w:val="577675F9"/>
    <w:rsid w:val="58136BF6"/>
    <w:rsid w:val="5A134FAF"/>
    <w:rsid w:val="5B871DD5"/>
    <w:rsid w:val="5B953DC6"/>
    <w:rsid w:val="5C380D48"/>
    <w:rsid w:val="5D264C1C"/>
    <w:rsid w:val="5D3E4715"/>
    <w:rsid w:val="60EF5D26"/>
    <w:rsid w:val="62364E44"/>
    <w:rsid w:val="62793487"/>
    <w:rsid w:val="62F67840"/>
    <w:rsid w:val="636429FB"/>
    <w:rsid w:val="649E1F3D"/>
    <w:rsid w:val="64EA0CC3"/>
    <w:rsid w:val="65336B29"/>
    <w:rsid w:val="657F6514"/>
    <w:rsid w:val="65907AD8"/>
    <w:rsid w:val="66341D0E"/>
    <w:rsid w:val="66680A54"/>
    <w:rsid w:val="66770C98"/>
    <w:rsid w:val="66A650D9"/>
    <w:rsid w:val="67915D89"/>
    <w:rsid w:val="69390486"/>
    <w:rsid w:val="6A0B1E23"/>
    <w:rsid w:val="6A23552C"/>
    <w:rsid w:val="6AC64860"/>
    <w:rsid w:val="6AFE1987"/>
    <w:rsid w:val="6B99343A"/>
    <w:rsid w:val="6BE566A3"/>
    <w:rsid w:val="6DA46816"/>
    <w:rsid w:val="6F997ED1"/>
    <w:rsid w:val="6FD40F09"/>
    <w:rsid w:val="6FEF189F"/>
    <w:rsid w:val="705362D1"/>
    <w:rsid w:val="71105F71"/>
    <w:rsid w:val="72A11576"/>
    <w:rsid w:val="72D37256"/>
    <w:rsid w:val="72E92126"/>
    <w:rsid w:val="7419513C"/>
    <w:rsid w:val="75E83018"/>
    <w:rsid w:val="767D5E56"/>
    <w:rsid w:val="77212C85"/>
    <w:rsid w:val="780D320A"/>
    <w:rsid w:val="78762B5D"/>
    <w:rsid w:val="78833246"/>
    <w:rsid w:val="78852DA0"/>
    <w:rsid w:val="7997722F"/>
    <w:rsid w:val="79A731EA"/>
    <w:rsid w:val="7A1F0FD2"/>
    <w:rsid w:val="7AAB48FF"/>
    <w:rsid w:val="7AB015BF"/>
    <w:rsid w:val="7B123F8F"/>
    <w:rsid w:val="7B2745E3"/>
    <w:rsid w:val="7B4C229B"/>
    <w:rsid w:val="7B8C321B"/>
    <w:rsid w:val="7C037F26"/>
    <w:rsid w:val="7C1F350C"/>
    <w:rsid w:val="7CF762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9"/>
    <w:semiHidden/>
    <w:unhideWhenUsed/>
    <w:qFormat/>
    <w:uiPriority w:val="99"/>
    <w:rPr>
      <w:b/>
      <w:bCs/>
    </w:rPr>
  </w:style>
  <w:style w:type="table" w:styleId="9">
    <w:name w:val="Table Grid"/>
    <w:basedOn w:val="8"/>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character" w:styleId="12">
    <w:name w:val="annotation reference"/>
    <w:basedOn w:val="10"/>
    <w:semiHidden/>
    <w:unhideWhenUsed/>
    <w:qFormat/>
    <w:uiPriority w:val="99"/>
    <w:rPr>
      <w:sz w:val="21"/>
      <w:szCs w:val="21"/>
    </w:rPr>
  </w:style>
  <w:style w:type="paragraph" w:customStyle="1" w:styleId="13">
    <w:name w:val="论文正文"/>
    <w:basedOn w:val="1"/>
    <w:qFormat/>
    <w:uiPriority w:val="0"/>
    <w:pPr>
      <w:autoSpaceDE w:val="0"/>
      <w:autoSpaceDN w:val="0"/>
      <w:spacing w:line="360" w:lineRule="auto"/>
      <w:ind w:firstLine="420" w:firstLineChars="200"/>
    </w:pPr>
    <w:rPr>
      <w:rFonts w:ascii="Times New Roman" w:hAnsi="Times New Roman" w:eastAsia="宋体" w:cs="仿宋"/>
      <w:kern w:val="0"/>
      <w:sz w:val="24"/>
      <w:lang w:eastAsia="en-US" w:bidi="en-US"/>
    </w:rPr>
  </w:style>
  <w:style w:type="character" w:customStyle="1" w:styleId="14">
    <w:name w:val="页眉 Char"/>
    <w:basedOn w:val="10"/>
    <w:link w:val="5"/>
    <w:qFormat/>
    <w:uiPriority w:val="99"/>
    <w:rPr>
      <w:sz w:val="18"/>
      <w:szCs w:val="18"/>
    </w:rPr>
  </w:style>
  <w:style w:type="character" w:customStyle="1" w:styleId="15">
    <w:name w:val="页脚 Char"/>
    <w:basedOn w:val="10"/>
    <w:link w:val="4"/>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框文本 Char"/>
    <w:basedOn w:val="10"/>
    <w:link w:val="3"/>
    <w:semiHidden/>
    <w:qFormat/>
    <w:uiPriority w:val="99"/>
    <w:rPr>
      <w:sz w:val="18"/>
      <w:szCs w:val="18"/>
    </w:rPr>
  </w:style>
  <w:style w:type="character" w:customStyle="1" w:styleId="18">
    <w:name w:val="批注文字 Char"/>
    <w:basedOn w:val="10"/>
    <w:link w:val="2"/>
    <w:semiHidden/>
    <w:qFormat/>
    <w:uiPriority w:val="99"/>
    <w:rPr>
      <w:kern w:val="2"/>
      <w:sz w:val="21"/>
      <w:szCs w:val="22"/>
    </w:rPr>
  </w:style>
  <w:style w:type="character" w:customStyle="1" w:styleId="19">
    <w:name w:val="批注主题 Char"/>
    <w:basedOn w:val="18"/>
    <w:link w:val="7"/>
    <w:semiHidden/>
    <w:qFormat/>
    <w:uiPriority w:val="99"/>
    <w:rPr>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2754</Words>
  <Characters>2847</Characters>
  <Lines>21</Lines>
  <Paragraphs>5</Paragraphs>
  <TotalTime>0</TotalTime>
  <ScaleCrop>false</ScaleCrop>
  <LinksUpToDate>false</LinksUpToDate>
  <CharactersWithSpaces>2918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2022-05-13T12:57:00Z</dcterms:created>
  <dc:creator>admin</dc:creator>
  <cp:lastModifiedBy>岸</cp:lastModifiedBy>
  <dcterms:modified xsi:type="dcterms:W3CDTF">2026-04-27T05:29:39Z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E9B00C52ADC24C7392CE7501F5A83FAA_13</vt:lpwstr>
  </property>
  <property fmtid="{D5CDD505-2E9C-101B-9397-08002B2CF9AE}" pid="4" name="KSOTemplateDocerSaveRecord">
    <vt:lpwstr>eyJoZGlkIjoiYjMwNmU2MWIyN2NiYzE5YzU4ODFmYTdjODliZDVhOGMiLCJ1c2VySWQiOiI1NTM3ODc4NjkifQ==</vt:lpwstr>
  </property>
</Properties>
</file>