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360F52">
      <w:pPr>
        <w:spacing w:line="360" w:lineRule="auto"/>
        <w:jc w:val="center"/>
        <w:rPr>
          <w:rStyle w:val="11"/>
          <w:rFonts w:ascii="黑体" w:hAnsi="黑体" w:eastAsia="黑体"/>
          <w:bCs w:val="0"/>
          <w:color w:val="000000"/>
          <w:sz w:val="24"/>
          <w:szCs w:val="24"/>
        </w:rPr>
      </w:pPr>
      <w:r>
        <w:rPr>
          <w:rStyle w:val="11"/>
          <w:rFonts w:hint="eastAsia" w:ascii="黑体" w:hAnsi="黑体" w:eastAsia="黑体"/>
          <w:bCs w:val="0"/>
          <w:color w:val="000000"/>
          <w:sz w:val="32"/>
          <w:szCs w:val="32"/>
        </w:rPr>
        <w:t>“</w:t>
      </w:r>
      <w:r>
        <w:rPr>
          <w:rStyle w:val="11"/>
          <w:rFonts w:hint="eastAsia" w:ascii="黑体" w:hAnsi="黑体" w:eastAsia="黑体" w:cs="宋体"/>
          <w:bCs w:val="0"/>
          <w:color w:val="000000"/>
          <w:sz w:val="32"/>
          <w:szCs w:val="32"/>
        </w:rPr>
        <w:t>党务管理</w:t>
      </w:r>
      <w:r>
        <w:rPr>
          <w:rStyle w:val="11"/>
          <w:rFonts w:hint="eastAsia" w:ascii="黑体" w:hAnsi="黑体" w:eastAsia="黑体"/>
          <w:bCs w:val="0"/>
          <w:color w:val="000000"/>
          <w:sz w:val="32"/>
          <w:szCs w:val="32"/>
        </w:rPr>
        <w:t>”微专业招生简章</w:t>
      </w:r>
    </w:p>
    <w:p w14:paraId="2007D69C">
      <w:pPr>
        <w:spacing w:line="360" w:lineRule="auto"/>
        <w:ind w:firstLine="480" w:firstLineChars="200"/>
        <w:rPr>
          <w:rStyle w:val="11"/>
          <w:rFonts w:ascii="黑体" w:hAnsi="黑体" w:eastAsia="黑体" w:cs="黑体"/>
          <w:b w:val="0"/>
          <w:bCs w:val="0"/>
          <w:color w:val="000000"/>
          <w:sz w:val="24"/>
          <w:szCs w:val="24"/>
        </w:rPr>
      </w:pPr>
    </w:p>
    <w:p w14:paraId="2C62B9CF">
      <w:pPr>
        <w:spacing w:line="360" w:lineRule="auto"/>
        <w:ind w:firstLine="480" w:firstLineChars="200"/>
        <w:rPr>
          <w:rFonts w:ascii="宋体" w:hAnsi="宋体" w:eastAsia="宋体"/>
          <w:color w:val="4D4D4D"/>
          <w:sz w:val="24"/>
          <w:szCs w:val="24"/>
        </w:rPr>
      </w:pPr>
      <w:r>
        <w:rPr>
          <w:rStyle w:val="11"/>
          <w:rFonts w:hint="eastAsia" w:ascii="黑体" w:hAnsi="黑体" w:eastAsia="黑体" w:cs="黑体"/>
          <w:b w:val="0"/>
          <w:bCs w:val="0"/>
          <w:color w:val="000000"/>
          <w:sz w:val="24"/>
          <w:szCs w:val="24"/>
        </w:rPr>
        <w:t>一、微专业简介</w:t>
      </w:r>
    </w:p>
    <w:p w14:paraId="751C2E6D">
      <w:pPr>
        <w:spacing w:line="360" w:lineRule="auto"/>
        <w:ind w:firstLine="566" w:firstLineChars="236"/>
        <w:rPr>
          <w:rFonts w:ascii="宋体" w:hAnsi="宋体" w:eastAsia="宋体"/>
          <w:sz w:val="24"/>
          <w:szCs w:val="24"/>
        </w:rPr>
      </w:pPr>
      <w:r>
        <w:rPr>
          <w:rFonts w:hint="eastAsia" w:ascii="宋体" w:hAnsi="宋体" w:eastAsia="宋体"/>
          <w:sz w:val="24"/>
          <w:szCs w:val="24"/>
        </w:rPr>
        <w:t>“党务管理”微专业是面向中共党史党建学、马克思主义理论与公共管理领域的跨学科教育项目，旨在培养学生运用党建理论与管理学知识，处理基层党务工作、公文写作及智慧党建平台应用的能力。该微专业立足新时代党的建设总要求，以政治引领为核心、实务能力为导向、数字赋能为支撑，将党史党建理论与人工智能应用、公共管理实践相结合，帮助学生高效掌握党员发展、组织建设、宣传思想等基层党务工作全流程。</w:t>
      </w:r>
    </w:p>
    <w:p w14:paraId="5287C15C">
      <w:pPr>
        <w:spacing w:line="360" w:lineRule="auto"/>
        <w:ind w:firstLine="566" w:firstLineChars="236"/>
        <w:rPr>
          <w:rFonts w:ascii="宋体" w:hAnsi="宋体" w:eastAsia="宋体"/>
          <w:sz w:val="24"/>
          <w:szCs w:val="24"/>
        </w:rPr>
      </w:pPr>
      <w:r>
        <w:rPr>
          <w:rFonts w:hint="eastAsia" w:ascii="宋体" w:hAnsi="宋体" w:eastAsia="宋体"/>
          <w:sz w:val="24"/>
          <w:szCs w:val="24"/>
        </w:rPr>
        <w:t>通过理论学习与实践结合，学生将掌握党的建设基本理论与制度规范，学习党务公文写作规范与技巧，了解智慧党建与数字技术在党务管理中的应用场景，提升从事基层党务工作的综合素养与实操能力。本微专业特别适合希望向党政机关、事业单位、国有企业、社区及“两新”组织发展的学生党员、入党积极分子、团学骨干及有志于从事基层治理工作的在校本科生。</w:t>
      </w:r>
    </w:p>
    <w:p w14:paraId="655DA319">
      <w:pPr>
        <w:spacing w:line="360" w:lineRule="auto"/>
        <w:ind w:firstLine="566" w:firstLineChars="236"/>
        <w:rPr>
          <w:rFonts w:ascii="宋体" w:hAnsi="宋体" w:eastAsia="宋体"/>
          <w:sz w:val="24"/>
          <w:szCs w:val="24"/>
        </w:rPr>
      </w:pPr>
      <w:r>
        <w:rPr>
          <w:rFonts w:hint="eastAsia" w:ascii="宋体" w:hAnsi="宋体" w:eastAsia="宋体"/>
          <w:sz w:val="24"/>
          <w:szCs w:val="24"/>
        </w:rPr>
        <w:t>本专业以政治素养过硬、多学科融合、数字化应用与基层实务导向为特色，为学生提供创新型学习体验，助力其在党务管理、基层治理和公共部门行政领域的职业发展。</w:t>
      </w:r>
    </w:p>
    <w:p w14:paraId="7680E52F">
      <w:pPr>
        <w:spacing w:line="360" w:lineRule="auto"/>
        <w:ind w:firstLine="566" w:firstLineChars="236"/>
        <w:rPr>
          <w:rFonts w:ascii="宋体" w:hAnsi="宋体" w:eastAsia="宋体"/>
          <w:sz w:val="24"/>
          <w:szCs w:val="24"/>
        </w:rPr>
      </w:pPr>
    </w:p>
    <w:p w14:paraId="77CC047F">
      <w:pPr>
        <w:spacing w:line="360" w:lineRule="auto"/>
        <w:ind w:firstLine="480" w:firstLineChars="200"/>
        <w:rPr>
          <w:rStyle w:val="11"/>
          <w:rFonts w:ascii="黑体" w:hAnsi="黑体" w:eastAsia="黑体" w:cs="黑体"/>
          <w:b w:val="0"/>
          <w:bCs w:val="0"/>
          <w:color w:val="000000"/>
          <w:sz w:val="24"/>
          <w:szCs w:val="24"/>
        </w:rPr>
      </w:pPr>
      <w:r>
        <w:rPr>
          <w:rStyle w:val="11"/>
          <w:rFonts w:hint="eastAsia" w:ascii="黑体" w:hAnsi="黑体" w:eastAsia="黑体" w:cs="黑体"/>
          <w:b w:val="0"/>
          <w:bCs w:val="0"/>
          <w:color w:val="000000"/>
          <w:sz w:val="24"/>
          <w:szCs w:val="24"/>
        </w:rPr>
        <w:t>二、培养目标</w:t>
      </w:r>
    </w:p>
    <w:p w14:paraId="2216E491">
      <w:pPr>
        <w:spacing w:line="360" w:lineRule="auto"/>
        <w:ind w:firstLine="566" w:firstLineChars="236"/>
        <w:rPr>
          <w:rFonts w:ascii="宋体" w:hAnsi="宋体" w:eastAsia="宋体"/>
          <w:sz w:val="24"/>
          <w:szCs w:val="24"/>
        </w:rPr>
      </w:pPr>
      <w:r>
        <w:rPr>
          <w:rFonts w:hint="eastAsia" w:ascii="宋体" w:hAnsi="宋体" w:eastAsia="宋体"/>
          <w:sz w:val="24"/>
          <w:szCs w:val="24"/>
        </w:rPr>
        <w:t>本微专业致力于培养具备坚定政治立场与跨学科党务技能的复合型后备人才，使学生能够在党史党建、公共管理与人工智能应用交叉领域中胜任基层党务工作。具体而言，本专业旨在：</w:t>
      </w:r>
    </w:p>
    <w:p w14:paraId="695DD676">
      <w:pPr>
        <w:spacing w:line="360" w:lineRule="auto"/>
        <w:ind w:firstLine="566" w:firstLineChars="236"/>
        <w:rPr>
          <w:rFonts w:ascii="宋体" w:hAnsi="宋体" w:eastAsia="宋体"/>
          <w:sz w:val="24"/>
          <w:szCs w:val="24"/>
        </w:rPr>
      </w:pPr>
      <w:r>
        <w:rPr>
          <w:rFonts w:hint="eastAsia" w:ascii="宋体" w:hAnsi="宋体" w:eastAsia="宋体"/>
          <w:sz w:val="24"/>
          <w:szCs w:val="24"/>
        </w:rPr>
        <w:t>1.政治素养与理论根基：通过系统化的党史党建理论学习，使学生深刻理解党的百年奋斗历程与新时代党的建设总要求，增强“四个意识”、坚定“四个自信”、做到“两个维护”，具备良好的党性修养与政治判断力。</w:t>
      </w:r>
    </w:p>
    <w:p w14:paraId="15C15FB0">
      <w:pPr>
        <w:spacing w:line="360" w:lineRule="auto"/>
        <w:ind w:firstLine="566" w:firstLineChars="236"/>
        <w:rPr>
          <w:rFonts w:ascii="宋体" w:hAnsi="宋体" w:eastAsia="宋体"/>
          <w:sz w:val="24"/>
          <w:szCs w:val="24"/>
        </w:rPr>
      </w:pPr>
      <w:r>
        <w:rPr>
          <w:rFonts w:hint="eastAsia" w:ascii="宋体" w:hAnsi="宋体" w:eastAsia="宋体"/>
          <w:sz w:val="24"/>
          <w:szCs w:val="24"/>
        </w:rPr>
        <w:t>2.党务实操能力培养：强调理论与实务相结合的教学模式，通过案例分析、模拟实操、现场教学等形式，让学生在实际操作中掌握党员发展流程、组织生活规范、换届选举及智慧党建平台操作等具体技能，确保毕业后能迅速适应党务助理及基层管理岗位。</w:t>
      </w:r>
    </w:p>
    <w:p w14:paraId="783C77F4">
      <w:pPr>
        <w:spacing w:line="360" w:lineRule="auto"/>
        <w:ind w:firstLine="566" w:firstLineChars="236"/>
        <w:rPr>
          <w:rFonts w:ascii="宋体" w:hAnsi="宋体" w:eastAsia="宋体"/>
          <w:sz w:val="24"/>
          <w:szCs w:val="24"/>
        </w:rPr>
      </w:pPr>
      <w:r>
        <w:rPr>
          <w:rFonts w:hint="eastAsia" w:ascii="宋体" w:hAnsi="宋体" w:eastAsia="宋体"/>
          <w:sz w:val="24"/>
          <w:szCs w:val="24"/>
        </w:rPr>
        <w:t>3.公文写作与沟通技能：重点训练党务公文的规范撰写能力，培养学生熟练掌握决议、报告、通知、总结、讲话稿及党建活动方案的写作方法，提升在党政环境中的书面表达与沟通协调能力。</w:t>
      </w:r>
    </w:p>
    <w:p w14:paraId="7ED42D2B">
      <w:pPr>
        <w:spacing w:line="360" w:lineRule="auto"/>
        <w:ind w:firstLine="566" w:firstLineChars="236"/>
        <w:rPr>
          <w:rFonts w:ascii="宋体" w:hAnsi="宋体" w:eastAsia="宋体"/>
          <w:sz w:val="24"/>
          <w:szCs w:val="24"/>
        </w:rPr>
      </w:pPr>
      <w:r>
        <w:rPr>
          <w:rFonts w:hint="eastAsia" w:ascii="宋体" w:hAnsi="宋体" w:eastAsia="宋体"/>
          <w:sz w:val="24"/>
          <w:szCs w:val="24"/>
        </w:rPr>
        <w:t>4.数字化与创新应用：鼓励学生探索人工智能、大数据在党务管理中的创新应用场景，如智慧党建平台的数据分析与维护、AI辅助公文写作等，推动基层党务工作的数字化转型与效能提升。</w:t>
      </w:r>
    </w:p>
    <w:p w14:paraId="5CB1C491">
      <w:pPr>
        <w:spacing w:line="360" w:lineRule="auto"/>
        <w:ind w:firstLine="566" w:firstLineChars="236"/>
        <w:rPr>
          <w:rFonts w:ascii="宋体" w:hAnsi="宋体" w:eastAsia="宋体"/>
          <w:sz w:val="24"/>
          <w:szCs w:val="24"/>
        </w:rPr>
      </w:pPr>
      <w:r>
        <w:rPr>
          <w:rFonts w:hint="eastAsia" w:ascii="宋体" w:hAnsi="宋体" w:eastAsia="宋体"/>
          <w:sz w:val="24"/>
          <w:szCs w:val="24"/>
        </w:rPr>
        <w:t>职业素养与责任意识：注重学生的职业道德、保密意识、群众工作能力及团队协作精神的培养，使其成为政治可靠、业务懂行、作风扎实的高素质青年党务工作后备力量。</w:t>
      </w:r>
    </w:p>
    <w:p w14:paraId="02767916">
      <w:pPr>
        <w:spacing w:line="360" w:lineRule="auto"/>
        <w:ind w:firstLine="566" w:firstLineChars="236"/>
        <w:rPr>
          <w:rFonts w:ascii="宋体" w:hAnsi="宋体" w:eastAsia="宋体"/>
          <w:sz w:val="24"/>
          <w:szCs w:val="24"/>
        </w:rPr>
      </w:pPr>
      <w:r>
        <w:rPr>
          <w:rFonts w:hint="eastAsia" w:ascii="宋体" w:hAnsi="宋体" w:eastAsia="宋体"/>
          <w:sz w:val="24"/>
          <w:szCs w:val="24"/>
        </w:rPr>
        <w:t>综上所述，“党务管理”微专业不仅为学生提供了丰富的理论资源与实践平台，更着眼于其未来在党政机关、企事业单位及基层治理领域的职业发展，力求培养出能够服务党的建设新的伟大工程的优秀人才。</w:t>
      </w:r>
    </w:p>
    <w:p w14:paraId="7765A7A2">
      <w:pPr>
        <w:spacing w:line="360" w:lineRule="auto"/>
        <w:ind w:firstLine="566" w:firstLineChars="236"/>
        <w:rPr>
          <w:rFonts w:ascii="宋体" w:hAnsi="宋体" w:eastAsia="宋体"/>
          <w:sz w:val="24"/>
          <w:szCs w:val="24"/>
        </w:rPr>
      </w:pPr>
    </w:p>
    <w:p w14:paraId="20A0F633">
      <w:pPr>
        <w:spacing w:beforeLines="50" w:afterLines="50" w:line="360" w:lineRule="auto"/>
        <w:ind w:left="562"/>
        <w:rPr>
          <w:rFonts w:ascii="宋体" w:hAnsi="宋体" w:eastAsia="黑体"/>
          <w:b/>
          <w:sz w:val="28"/>
          <w:szCs w:val="28"/>
        </w:rPr>
      </w:pPr>
      <w:r>
        <w:rPr>
          <w:rStyle w:val="11"/>
          <w:rFonts w:hint="eastAsia" w:ascii="黑体" w:hAnsi="黑体" w:eastAsia="黑体" w:cs="黑体"/>
          <w:b w:val="0"/>
          <w:bCs w:val="0"/>
          <w:color w:val="000000"/>
          <w:sz w:val="24"/>
          <w:szCs w:val="24"/>
        </w:rPr>
        <w:t>三、招生对象、报名条件及招生规模</w:t>
      </w:r>
    </w:p>
    <w:p w14:paraId="359EC940">
      <w:pPr>
        <w:spacing w:line="360" w:lineRule="auto"/>
        <w:ind w:firstLine="482" w:firstLineChars="200"/>
        <w:rPr>
          <w:rFonts w:ascii="宋体" w:hAnsi="宋体" w:eastAsia="宋体"/>
          <w:b/>
          <w:color w:val="4D4D4D"/>
          <w:sz w:val="24"/>
          <w:szCs w:val="24"/>
        </w:rPr>
      </w:pPr>
      <w:r>
        <w:rPr>
          <w:rFonts w:hint="eastAsia" w:ascii="宋体" w:hAnsi="宋体" w:eastAsia="宋体"/>
          <w:b/>
          <w:color w:val="4D4D4D"/>
          <w:sz w:val="24"/>
          <w:szCs w:val="24"/>
        </w:rPr>
        <w:t>（一）招生对象</w:t>
      </w:r>
    </w:p>
    <w:p w14:paraId="722CA683">
      <w:pPr>
        <w:spacing w:line="360" w:lineRule="auto"/>
        <w:ind w:firstLine="480" w:firstLineChars="200"/>
        <w:rPr>
          <w:rFonts w:ascii="宋体" w:hAnsi="宋体" w:eastAsia="宋体"/>
          <w:color w:val="4D4D4D"/>
          <w:sz w:val="24"/>
          <w:szCs w:val="24"/>
        </w:rPr>
      </w:pPr>
      <w:r>
        <w:rPr>
          <w:rFonts w:hint="eastAsia" w:ascii="宋体" w:hAnsi="宋体" w:eastAsia="宋体"/>
          <w:color w:val="4D4D4D"/>
          <w:sz w:val="24"/>
          <w:szCs w:val="24"/>
        </w:rPr>
        <w:t>本微专业面向上海政法学院2024级和2025级全日制本科生招生。</w:t>
      </w:r>
    </w:p>
    <w:p w14:paraId="457D069C">
      <w:pPr>
        <w:spacing w:line="360" w:lineRule="auto"/>
        <w:ind w:firstLine="482" w:firstLineChars="200"/>
        <w:rPr>
          <w:rFonts w:ascii="宋体" w:hAnsi="宋体" w:eastAsia="宋体"/>
          <w:b/>
          <w:color w:val="4D4D4D"/>
          <w:sz w:val="24"/>
          <w:szCs w:val="24"/>
        </w:rPr>
      </w:pPr>
      <w:r>
        <w:rPr>
          <w:rFonts w:hint="eastAsia" w:ascii="宋体" w:hAnsi="宋体" w:eastAsia="宋体"/>
          <w:b/>
          <w:color w:val="4D4D4D"/>
          <w:sz w:val="24"/>
          <w:szCs w:val="24"/>
        </w:rPr>
        <w:t>（二）报名条件</w:t>
      </w:r>
    </w:p>
    <w:p w14:paraId="3010609E">
      <w:pPr>
        <w:spacing w:line="360" w:lineRule="auto"/>
        <w:ind w:firstLine="482" w:firstLineChars="200"/>
        <w:rPr>
          <w:rFonts w:ascii="宋体" w:hAnsi="宋体" w:eastAsia="宋体"/>
          <w:b/>
          <w:color w:val="4D4D4D"/>
          <w:sz w:val="24"/>
          <w:szCs w:val="24"/>
        </w:rPr>
      </w:pPr>
      <w:r>
        <w:rPr>
          <w:rFonts w:ascii="宋体" w:hAnsi="宋体" w:eastAsia="宋体"/>
          <w:b/>
          <w:color w:val="4D4D4D"/>
          <w:sz w:val="24"/>
          <w:szCs w:val="24"/>
        </w:rPr>
        <w:t>1</w:t>
      </w:r>
      <w:r>
        <w:rPr>
          <w:rFonts w:hint="eastAsia" w:ascii="宋体" w:hAnsi="宋体" w:eastAsia="宋体"/>
          <w:b/>
          <w:sz w:val="24"/>
          <w:szCs w:val="24"/>
        </w:rPr>
        <w:t>.</w:t>
      </w:r>
      <w:r>
        <w:rPr>
          <w:rFonts w:ascii="宋体" w:hAnsi="宋体" w:eastAsia="宋体"/>
          <w:b/>
          <w:color w:val="4D4D4D"/>
          <w:sz w:val="24"/>
          <w:szCs w:val="24"/>
        </w:rPr>
        <w:t>招生条件</w:t>
      </w:r>
    </w:p>
    <w:p w14:paraId="228DD2F6">
      <w:pPr>
        <w:spacing w:line="360" w:lineRule="auto"/>
        <w:ind w:firstLine="566" w:firstLineChars="236"/>
        <w:rPr>
          <w:rFonts w:ascii="宋体" w:hAnsi="宋体" w:eastAsia="宋体"/>
          <w:sz w:val="24"/>
          <w:szCs w:val="24"/>
        </w:rPr>
      </w:pPr>
      <w:r>
        <w:rPr>
          <w:rFonts w:ascii="宋体" w:hAnsi="宋体" w:eastAsia="宋体"/>
          <w:sz w:val="24"/>
          <w:szCs w:val="24"/>
        </w:rPr>
        <w:t>（1）具备坚定的政治立场和良好的思想道德品质，拥护党的领导。</w:t>
      </w:r>
    </w:p>
    <w:p w14:paraId="14E32438">
      <w:pPr>
        <w:spacing w:line="360" w:lineRule="auto"/>
        <w:ind w:firstLine="566" w:firstLineChars="236"/>
        <w:rPr>
          <w:rFonts w:ascii="宋体" w:hAnsi="宋体" w:eastAsia="宋体"/>
          <w:sz w:val="24"/>
          <w:szCs w:val="24"/>
        </w:rPr>
      </w:pPr>
      <w:r>
        <w:rPr>
          <w:rFonts w:ascii="宋体" w:hAnsi="宋体" w:eastAsia="宋体"/>
          <w:sz w:val="24"/>
          <w:szCs w:val="24"/>
        </w:rPr>
        <w:t>（2）对党史党建、基层治理或公共服务有浓厚兴趣，优先面向学生党员、入党积极分子、团学骨干及学生党务助理。</w:t>
      </w:r>
    </w:p>
    <w:p w14:paraId="3D2B519E">
      <w:pPr>
        <w:spacing w:line="360" w:lineRule="auto"/>
        <w:ind w:firstLine="566" w:firstLineChars="236"/>
        <w:rPr>
          <w:rFonts w:ascii="宋体" w:hAnsi="宋体" w:eastAsia="宋体"/>
          <w:sz w:val="24"/>
          <w:szCs w:val="24"/>
        </w:rPr>
      </w:pPr>
      <w:r>
        <w:rPr>
          <w:rFonts w:ascii="宋体" w:hAnsi="宋体" w:eastAsia="宋体"/>
          <w:sz w:val="24"/>
          <w:szCs w:val="24"/>
        </w:rPr>
        <w:t>（3）具备基本的人文社科素养和较强的文字表达能力。</w:t>
      </w:r>
    </w:p>
    <w:p w14:paraId="0DF30529">
      <w:pPr>
        <w:spacing w:line="360" w:lineRule="auto"/>
        <w:ind w:firstLine="566" w:firstLineChars="236"/>
        <w:rPr>
          <w:rFonts w:ascii="宋体" w:hAnsi="宋体" w:eastAsia="宋体"/>
          <w:sz w:val="24"/>
          <w:szCs w:val="24"/>
        </w:rPr>
      </w:pPr>
      <w:r>
        <w:rPr>
          <w:rFonts w:ascii="宋体" w:hAnsi="宋体" w:eastAsia="宋体"/>
          <w:sz w:val="24"/>
          <w:szCs w:val="24"/>
        </w:rPr>
        <w:t>（4）具有较强的学习能力、团队合作精神及组织协调能力。</w:t>
      </w:r>
    </w:p>
    <w:p w14:paraId="5A76835A">
      <w:pPr>
        <w:spacing w:line="360" w:lineRule="auto"/>
        <w:ind w:firstLine="482" w:firstLineChars="200"/>
        <w:rPr>
          <w:rFonts w:ascii="宋体" w:hAnsi="宋体" w:eastAsia="宋体"/>
          <w:b/>
          <w:color w:val="4D4D4D"/>
          <w:sz w:val="24"/>
          <w:szCs w:val="24"/>
        </w:rPr>
      </w:pPr>
      <w:r>
        <w:rPr>
          <w:rFonts w:ascii="宋体" w:hAnsi="宋体" w:eastAsia="宋体"/>
          <w:b/>
          <w:color w:val="4D4D4D"/>
          <w:sz w:val="24"/>
          <w:szCs w:val="24"/>
        </w:rPr>
        <w:t>2</w:t>
      </w:r>
      <w:r>
        <w:rPr>
          <w:rFonts w:hint="eastAsia" w:ascii="宋体" w:hAnsi="宋体" w:eastAsia="宋体"/>
          <w:b/>
          <w:sz w:val="24"/>
          <w:szCs w:val="24"/>
        </w:rPr>
        <w:t>.</w:t>
      </w:r>
      <w:r>
        <w:rPr>
          <w:rFonts w:ascii="宋体" w:hAnsi="宋体" w:eastAsia="宋体"/>
          <w:b/>
          <w:color w:val="4D4D4D"/>
          <w:sz w:val="24"/>
          <w:szCs w:val="24"/>
        </w:rPr>
        <w:t>前置课程</w:t>
      </w:r>
    </w:p>
    <w:p w14:paraId="4FF04572">
      <w:pPr>
        <w:spacing w:line="360" w:lineRule="auto"/>
        <w:ind w:firstLine="566" w:firstLineChars="236"/>
        <w:rPr>
          <w:rFonts w:ascii="宋体" w:hAnsi="宋体" w:eastAsia="宋体"/>
          <w:sz w:val="24"/>
          <w:szCs w:val="24"/>
        </w:rPr>
      </w:pPr>
      <w:r>
        <w:rPr>
          <w:rFonts w:ascii="宋体" w:hAnsi="宋体" w:eastAsia="宋体"/>
          <w:sz w:val="24"/>
          <w:szCs w:val="24"/>
        </w:rPr>
        <w:t>为了确保学生能够顺利学习本微专业的核心内容，建议学生在报名前已修读或具备以下相关课程的基础：</w:t>
      </w:r>
    </w:p>
    <w:p w14:paraId="09C7F894">
      <w:pPr>
        <w:spacing w:line="360" w:lineRule="auto"/>
        <w:ind w:firstLine="566" w:firstLineChars="236"/>
        <w:rPr>
          <w:rFonts w:ascii="宋体" w:hAnsi="宋体" w:eastAsia="宋体"/>
          <w:sz w:val="24"/>
          <w:szCs w:val="24"/>
        </w:rPr>
      </w:pPr>
      <w:r>
        <w:rPr>
          <w:rFonts w:ascii="宋体" w:hAnsi="宋体" w:eastAsia="宋体"/>
          <w:sz w:val="24"/>
          <w:szCs w:val="24"/>
        </w:rPr>
        <w:t>（1）思政课程基础：已修读《中国近现代史纲要》《习近平新时代中国特色社会主义思想概论》《毛泽东思想和中国特色社会主义理论体系概论》等思政类课程。</w:t>
      </w:r>
    </w:p>
    <w:p w14:paraId="65806D14">
      <w:pPr>
        <w:spacing w:line="360" w:lineRule="auto"/>
        <w:ind w:firstLine="566" w:firstLineChars="236"/>
        <w:rPr>
          <w:rFonts w:ascii="宋体" w:hAnsi="宋体" w:eastAsia="宋体"/>
          <w:sz w:val="24"/>
          <w:szCs w:val="24"/>
        </w:rPr>
      </w:pPr>
      <w:r>
        <w:rPr>
          <w:rFonts w:ascii="宋体" w:hAnsi="宋体" w:eastAsia="宋体"/>
          <w:sz w:val="24"/>
          <w:szCs w:val="24"/>
        </w:rPr>
        <w:t>（2）人文社科基础：了解《政治学原理》《公共管理学》《法学概论》《社会学概论》等通识类课程基本概念。</w:t>
      </w:r>
    </w:p>
    <w:p w14:paraId="422C56DF">
      <w:pPr>
        <w:spacing w:line="360" w:lineRule="auto"/>
        <w:ind w:firstLine="566" w:firstLineChars="236"/>
        <w:rPr>
          <w:rFonts w:ascii="宋体" w:hAnsi="宋体" w:eastAsia="宋体"/>
          <w:sz w:val="24"/>
          <w:szCs w:val="24"/>
        </w:rPr>
      </w:pPr>
      <w:r>
        <w:rPr>
          <w:rFonts w:ascii="宋体" w:hAnsi="宋体" w:eastAsia="宋体"/>
          <w:sz w:val="24"/>
          <w:szCs w:val="24"/>
        </w:rPr>
        <w:t>（3）文字处理能力：具备良好的中文书面表达能力，熟悉常用办公软件操作。</w:t>
      </w:r>
    </w:p>
    <w:p w14:paraId="4F0B71C8">
      <w:pPr>
        <w:spacing w:line="360" w:lineRule="auto"/>
        <w:ind w:firstLine="482" w:firstLineChars="200"/>
        <w:rPr>
          <w:rFonts w:ascii="宋体" w:hAnsi="宋体" w:eastAsia="宋体"/>
          <w:b/>
          <w:color w:val="4D4D4D"/>
          <w:sz w:val="24"/>
          <w:szCs w:val="24"/>
        </w:rPr>
      </w:pPr>
      <w:r>
        <w:rPr>
          <w:rFonts w:hint="eastAsia" w:ascii="宋体" w:hAnsi="宋体" w:eastAsia="宋体"/>
          <w:b/>
          <w:color w:val="4D4D4D"/>
          <w:sz w:val="24"/>
          <w:szCs w:val="24"/>
        </w:rPr>
        <w:t>（三）招生规模</w:t>
      </w:r>
    </w:p>
    <w:p w14:paraId="68EAF6C6">
      <w:pPr>
        <w:spacing w:line="360" w:lineRule="auto"/>
        <w:ind w:firstLine="480" w:firstLineChars="200"/>
        <w:rPr>
          <w:rFonts w:ascii="宋体" w:hAnsi="宋体" w:eastAsia="宋体"/>
          <w:color w:val="4D4D4D"/>
          <w:sz w:val="24"/>
          <w:szCs w:val="24"/>
        </w:rPr>
      </w:pPr>
      <w:r>
        <w:rPr>
          <w:rFonts w:hint="eastAsia" w:ascii="宋体" w:hAnsi="宋体" w:eastAsia="宋体"/>
          <w:color w:val="4D4D4D"/>
          <w:sz w:val="24"/>
          <w:szCs w:val="24"/>
        </w:rPr>
        <w:t>本微专业本次招生人数为20—25名，若招生人数低于15人，原则上不予开班教学。若报名人数超过限额，将会择优录取。</w:t>
      </w:r>
    </w:p>
    <w:p w14:paraId="55B24B11">
      <w:pPr>
        <w:spacing w:beforeLines="50" w:afterLines="50" w:line="560" w:lineRule="exact"/>
        <w:ind w:left="562"/>
        <w:rPr>
          <w:rStyle w:val="11"/>
          <w:rFonts w:ascii="黑体" w:hAnsi="黑体" w:eastAsia="黑体" w:cs="黑体"/>
          <w:b w:val="0"/>
          <w:bCs w:val="0"/>
          <w:color w:val="000000"/>
          <w:sz w:val="24"/>
          <w:szCs w:val="24"/>
        </w:rPr>
      </w:pPr>
      <w:r>
        <w:rPr>
          <w:rStyle w:val="11"/>
          <w:rFonts w:hint="eastAsia" w:ascii="黑体" w:hAnsi="黑体" w:eastAsia="黑体" w:cs="黑体"/>
          <w:b w:val="0"/>
          <w:bCs w:val="0"/>
          <w:color w:val="000000"/>
          <w:sz w:val="24"/>
          <w:szCs w:val="24"/>
        </w:rPr>
        <w:t>四、课程设置</w:t>
      </w:r>
    </w:p>
    <w:p w14:paraId="09474D8C">
      <w:pPr>
        <w:spacing w:afterLines="50" w:line="400" w:lineRule="exact"/>
        <w:ind w:left="480"/>
        <w:jc w:val="center"/>
        <w:rPr>
          <w:rFonts w:ascii="黑体" w:eastAsia="黑体"/>
          <w:b/>
          <w:sz w:val="24"/>
        </w:rPr>
      </w:pPr>
      <w:r>
        <w:rPr>
          <w:rFonts w:hint="eastAsia" w:ascii="黑体" w:eastAsia="黑体"/>
          <w:b/>
          <w:sz w:val="24"/>
        </w:rPr>
        <w:t>党务管理微专业课程设置及教学进程计划表</w:t>
      </w:r>
    </w:p>
    <w:tbl>
      <w:tblPr>
        <w:tblStyle w:val="8"/>
        <w:tblW w:w="84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648"/>
        <w:gridCol w:w="2946"/>
        <w:gridCol w:w="870"/>
        <w:gridCol w:w="852"/>
        <w:gridCol w:w="3150"/>
      </w:tblGrid>
      <w:tr w14:paraId="5954D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2" w:hRule="atLeast"/>
          <w:jc w:val="center"/>
        </w:trPr>
        <w:tc>
          <w:tcPr>
            <w:tcW w:w="648" w:type="dxa"/>
            <w:noWrap/>
            <w:vAlign w:val="center"/>
          </w:tcPr>
          <w:p w14:paraId="7C08A94A">
            <w:pPr>
              <w:widowControl/>
              <w:spacing w:line="360" w:lineRule="auto"/>
              <w:jc w:val="center"/>
              <w:rPr>
                <w:rFonts w:ascii="仿宋_GB2312" w:eastAsia="仿宋_GB2312"/>
                <w:b/>
                <w:bCs/>
                <w:kern w:val="0"/>
                <w:sz w:val="24"/>
                <w:szCs w:val="24"/>
              </w:rPr>
            </w:pPr>
            <w:r>
              <w:rPr>
                <w:rFonts w:hint="eastAsia" w:ascii="仿宋_GB2312" w:eastAsia="仿宋_GB2312"/>
                <w:b/>
                <w:bCs/>
                <w:kern w:val="0"/>
                <w:sz w:val="24"/>
                <w:szCs w:val="24"/>
              </w:rPr>
              <w:t>序号</w:t>
            </w:r>
          </w:p>
        </w:tc>
        <w:tc>
          <w:tcPr>
            <w:tcW w:w="2946" w:type="dxa"/>
            <w:noWrap/>
            <w:vAlign w:val="center"/>
          </w:tcPr>
          <w:p w14:paraId="7555258B">
            <w:pPr>
              <w:widowControl/>
              <w:spacing w:line="360" w:lineRule="auto"/>
              <w:jc w:val="center"/>
              <w:rPr>
                <w:rFonts w:ascii="仿宋_GB2312" w:eastAsia="仿宋_GB2312"/>
                <w:b/>
                <w:bCs/>
                <w:kern w:val="0"/>
                <w:sz w:val="24"/>
                <w:szCs w:val="24"/>
              </w:rPr>
            </w:pPr>
            <w:r>
              <w:rPr>
                <w:rFonts w:hint="eastAsia" w:ascii="仿宋_GB2312" w:eastAsia="仿宋_GB2312"/>
                <w:b/>
                <w:bCs/>
                <w:kern w:val="0"/>
                <w:sz w:val="24"/>
                <w:szCs w:val="24"/>
              </w:rPr>
              <w:t>课程名称</w:t>
            </w:r>
          </w:p>
        </w:tc>
        <w:tc>
          <w:tcPr>
            <w:tcW w:w="870" w:type="dxa"/>
            <w:noWrap/>
            <w:vAlign w:val="center"/>
          </w:tcPr>
          <w:p w14:paraId="7DEF7E1A">
            <w:pPr>
              <w:widowControl/>
              <w:spacing w:line="360" w:lineRule="auto"/>
              <w:jc w:val="center"/>
              <w:rPr>
                <w:rFonts w:ascii="仿宋_GB2312" w:eastAsia="仿宋_GB2312"/>
                <w:b/>
                <w:bCs/>
                <w:kern w:val="0"/>
                <w:sz w:val="24"/>
                <w:szCs w:val="24"/>
              </w:rPr>
            </w:pPr>
            <w:r>
              <w:rPr>
                <w:rFonts w:hint="eastAsia" w:ascii="仿宋_GB2312" w:eastAsia="仿宋_GB2312"/>
                <w:b/>
                <w:bCs/>
                <w:kern w:val="0"/>
                <w:sz w:val="24"/>
                <w:szCs w:val="24"/>
              </w:rPr>
              <w:t>学分</w:t>
            </w:r>
          </w:p>
        </w:tc>
        <w:tc>
          <w:tcPr>
            <w:tcW w:w="852" w:type="dxa"/>
            <w:noWrap/>
            <w:vAlign w:val="center"/>
          </w:tcPr>
          <w:p w14:paraId="4745A9FA">
            <w:pPr>
              <w:widowControl/>
              <w:spacing w:line="360" w:lineRule="auto"/>
              <w:jc w:val="center"/>
              <w:rPr>
                <w:rFonts w:ascii="仿宋_GB2312" w:eastAsia="仿宋_GB2312"/>
                <w:b/>
                <w:bCs/>
                <w:kern w:val="0"/>
                <w:sz w:val="24"/>
                <w:szCs w:val="24"/>
              </w:rPr>
            </w:pPr>
            <w:r>
              <w:rPr>
                <w:rFonts w:hint="eastAsia" w:ascii="仿宋_GB2312" w:eastAsia="仿宋_GB2312"/>
                <w:b/>
                <w:bCs/>
                <w:kern w:val="0"/>
                <w:sz w:val="24"/>
                <w:szCs w:val="24"/>
              </w:rPr>
              <w:t>学时</w:t>
            </w:r>
          </w:p>
        </w:tc>
        <w:tc>
          <w:tcPr>
            <w:tcW w:w="3150" w:type="dxa"/>
            <w:noWrap/>
            <w:vAlign w:val="center"/>
          </w:tcPr>
          <w:p w14:paraId="1962DAAB">
            <w:pPr>
              <w:widowControl/>
              <w:spacing w:line="360" w:lineRule="auto"/>
              <w:jc w:val="center"/>
              <w:rPr>
                <w:rFonts w:ascii="仿宋_GB2312" w:eastAsia="仿宋_GB2312"/>
                <w:b/>
                <w:bCs/>
                <w:kern w:val="0"/>
                <w:sz w:val="24"/>
                <w:szCs w:val="24"/>
              </w:rPr>
            </w:pPr>
            <w:r>
              <w:rPr>
                <w:rFonts w:hint="eastAsia" w:ascii="仿宋_GB2312" w:eastAsia="仿宋_GB2312"/>
                <w:b/>
                <w:bCs/>
                <w:kern w:val="0"/>
                <w:sz w:val="24"/>
                <w:szCs w:val="24"/>
              </w:rPr>
              <w:t>开课学期</w:t>
            </w:r>
          </w:p>
        </w:tc>
      </w:tr>
      <w:tr w14:paraId="21107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8" w:hRule="atLeast"/>
          <w:jc w:val="center"/>
        </w:trPr>
        <w:tc>
          <w:tcPr>
            <w:tcW w:w="648" w:type="dxa"/>
            <w:noWrap/>
            <w:vAlign w:val="center"/>
          </w:tcPr>
          <w:p w14:paraId="0A20E2FB">
            <w:pPr>
              <w:jc w:val="center"/>
              <w:rPr>
                <w:rFonts w:ascii="仿宋_GB2312" w:eastAsia="仿宋_GB2312"/>
                <w:kern w:val="0"/>
                <w:sz w:val="24"/>
                <w:szCs w:val="24"/>
              </w:rPr>
            </w:pPr>
            <w:r>
              <w:rPr>
                <w:rFonts w:hint="eastAsia" w:ascii="仿宋_GB2312" w:eastAsia="仿宋_GB2312"/>
                <w:kern w:val="0"/>
                <w:sz w:val="24"/>
                <w:szCs w:val="24"/>
              </w:rPr>
              <w:t>1</w:t>
            </w:r>
          </w:p>
        </w:tc>
        <w:tc>
          <w:tcPr>
            <w:tcW w:w="2946" w:type="dxa"/>
            <w:noWrap/>
            <w:vAlign w:val="center"/>
          </w:tcPr>
          <w:p w14:paraId="110CBB3B">
            <w:pPr>
              <w:jc w:val="center"/>
              <w:rPr>
                <w:rFonts w:ascii="仿宋_GB2312" w:eastAsia="仿宋_GB2312"/>
                <w:kern w:val="0"/>
                <w:sz w:val="24"/>
                <w:szCs w:val="24"/>
              </w:rPr>
            </w:pPr>
            <w:r>
              <w:rPr>
                <w:rFonts w:hint="eastAsia" w:ascii="宋体" w:hAnsi="宋体" w:eastAsia="宋体" w:cs="宋体"/>
                <w:kern w:val="0"/>
                <w:sz w:val="24"/>
                <w:szCs w:val="24"/>
              </w:rPr>
              <w:t>中国共产党历史</w:t>
            </w:r>
          </w:p>
        </w:tc>
        <w:tc>
          <w:tcPr>
            <w:tcW w:w="870" w:type="dxa"/>
            <w:noWrap/>
            <w:vAlign w:val="center"/>
          </w:tcPr>
          <w:p w14:paraId="0F675673">
            <w:pPr>
              <w:jc w:val="center"/>
              <w:rPr>
                <w:rFonts w:ascii="仿宋_GB2312" w:eastAsia="仿宋_GB2312"/>
                <w:kern w:val="0"/>
                <w:sz w:val="24"/>
                <w:szCs w:val="24"/>
              </w:rPr>
            </w:pPr>
            <w:r>
              <w:rPr>
                <w:rFonts w:hint="eastAsia" w:ascii="仿宋_GB2312" w:eastAsia="仿宋_GB2312"/>
                <w:kern w:val="0"/>
                <w:sz w:val="24"/>
                <w:szCs w:val="24"/>
              </w:rPr>
              <w:t>2</w:t>
            </w:r>
          </w:p>
        </w:tc>
        <w:tc>
          <w:tcPr>
            <w:tcW w:w="852" w:type="dxa"/>
            <w:noWrap/>
            <w:vAlign w:val="center"/>
          </w:tcPr>
          <w:p w14:paraId="2BD46CBE">
            <w:pPr>
              <w:jc w:val="center"/>
              <w:rPr>
                <w:rFonts w:ascii="仿宋_GB2312" w:eastAsia="仿宋_GB2312"/>
                <w:kern w:val="0"/>
                <w:sz w:val="24"/>
                <w:szCs w:val="24"/>
              </w:rPr>
            </w:pPr>
            <w:r>
              <w:rPr>
                <w:rFonts w:hint="eastAsia" w:ascii="仿宋_GB2312" w:eastAsia="仿宋_GB2312"/>
                <w:kern w:val="0"/>
                <w:sz w:val="24"/>
                <w:szCs w:val="24"/>
              </w:rPr>
              <w:t>30</w:t>
            </w:r>
          </w:p>
        </w:tc>
        <w:tc>
          <w:tcPr>
            <w:tcW w:w="3150" w:type="dxa"/>
            <w:noWrap/>
            <w:vAlign w:val="center"/>
          </w:tcPr>
          <w:p w14:paraId="46BD8086">
            <w:pPr>
              <w:jc w:val="center"/>
              <w:rPr>
                <w:rFonts w:ascii="宋体" w:hAnsi="宋体" w:eastAsia="宋体" w:cs="宋体"/>
                <w:kern w:val="0"/>
                <w:sz w:val="24"/>
                <w:szCs w:val="24"/>
              </w:rPr>
            </w:pPr>
            <w:r>
              <w:rPr>
                <w:rFonts w:hint="eastAsia" w:ascii="宋体" w:hAnsi="宋体" w:eastAsia="宋体" w:cs="宋体"/>
                <w:kern w:val="0"/>
                <w:sz w:val="24"/>
                <w:szCs w:val="24"/>
              </w:rPr>
              <w:t>2026年夏季学期</w:t>
            </w:r>
          </w:p>
        </w:tc>
      </w:tr>
      <w:tr w14:paraId="3B429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92" w:hRule="atLeast"/>
          <w:jc w:val="center"/>
        </w:trPr>
        <w:tc>
          <w:tcPr>
            <w:tcW w:w="648" w:type="dxa"/>
            <w:noWrap/>
            <w:vAlign w:val="center"/>
          </w:tcPr>
          <w:p w14:paraId="75D5E659">
            <w:pPr>
              <w:jc w:val="center"/>
              <w:rPr>
                <w:rFonts w:ascii="仿宋_GB2312" w:eastAsia="仿宋_GB2312"/>
                <w:kern w:val="0"/>
                <w:sz w:val="24"/>
                <w:szCs w:val="24"/>
              </w:rPr>
            </w:pPr>
            <w:r>
              <w:rPr>
                <w:rFonts w:hint="eastAsia" w:ascii="仿宋_GB2312" w:eastAsia="仿宋_GB2312"/>
                <w:kern w:val="0"/>
                <w:sz w:val="24"/>
                <w:szCs w:val="24"/>
              </w:rPr>
              <w:t>2</w:t>
            </w:r>
          </w:p>
        </w:tc>
        <w:tc>
          <w:tcPr>
            <w:tcW w:w="2946" w:type="dxa"/>
            <w:noWrap/>
            <w:vAlign w:val="center"/>
          </w:tcPr>
          <w:p w14:paraId="5473BB5D">
            <w:pPr>
              <w:jc w:val="center"/>
              <w:rPr>
                <w:rFonts w:ascii="仿宋_GB2312" w:eastAsia="仿宋_GB2312"/>
                <w:kern w:val="0"/>
                <w:sz w:val="24"/>
                <w:szCs w:val="24"/>
              </w:rPr>
            </w:pPr>
            <w:r>
              <w:rPr>
                <w:rFonts w:hint="eastAsia" w:ascii="宋体" w:hAnsi="宋体" w:eastAsia="宋体" w:cs="宋体"/>
                <w:kern w:val="0"/>
                <w:sz w:val="24"/>
                <w:szCs w:val="24"/>
              </w:rPr>
              <w:t>党的建设理论专题</w:t>
            </w:r>
          </w:p>
        </w:tc>
        <w:tc>
          <w:tcPr>
            <w:tcW w:w="870" w:type="dxa"/>
            <w:noWrap/>
            <w:vAlign w:val="center"/>
          </w:tcPr>
          <w:p w14:paraId="667823C3">
            <w:pPr>
              <w:jc w:val="center"/>
              <w:rPr>
                <w:rFonts w:ascii="仿宋_GB2312" w:eastAsia="仿宋_GB2312"/>
                <w:kern w:val="0"/>
                <w:sz w:val="24"/>
                <w:szCs w:val="24"/>
              </w:rPr>
            </w:pPr>
            <w:r>
              <w:rPr>
                <w:rFonts w:hint="eastAsia" w:ascii="仿宋_GB2312" w:eastAsia="仿宋_GB2312"/>
                <w:kern w:val="0"/>
                <w:sz w:val="24"/>
                <w:szCs w:val="24"/>
              </w:rPr>
              <w:t>2</w:t>
            </w:r>
          </w:p>
        </w:tc>
        <w:tc>
          <w:tcPr>
            <w:tcW w:w="852" w:type="dxa"/>
            <w:noWrap/>
            <w:vAlign w:val="center"/>
          </w:tcPr>
          <w:p w14:paraId="3D0C8C7C">
            <w:pPr>
              <w:jc w:val="center"/>
              <w:rPr>
                <w:rFonts w:ascii="仿宋_GB2312" w:eastAsia="仿宋_GB2312"/>
                <w:kern w:val="0"/>
                <w:sz w:val="24"/>
                <w:szCs w:val="24"/>
              </w:rPr>
            </w:pPr>
            <w:r>
              <w:rPr>
                <w:rFonts w:hint="eastAsia" w:ascii="仿宋_GB2312" w:eastAsia="仿宋_GB2312"/>
                <w:kern w:val="0"/>
                <w:sz w:val="24"/>
                <w:szCs w:val="24"/>
              </w:rPr>
              <w:t>30</w:t>
            </w:r>
          </w:p>
        </w:tc>
        <w:tc>
          <w:tcPr>
            <w:tcW w:w="3150" w:type="dxa"/>
            <w:noWrap/>
            <w:vAlign w:val="center"/>
          </w:tcPr>
          <w:p w14:paraId="045439F7">
            <w:pPr>
              <w:jc w:val="center"/>
              <w:rPr>
                <w:rFonts w:ascii="宋体" w:hAnsi="宋体" w:eastAsia="宋体" w:cs="宋体"/>
                <w:kern w:val="0"/>
                <w:sz w:val="24"/>
                <w:szCs w:val="24"/>
              </w:rPr>
            </w:pPr>
            <w:r>
              <w:rPr>
                <w:rFonts w:hint="eastAsia" w:ascii="宋体" w:hAnsi="宋体" w:eastAsia="宋体" w:cs="宋体"/>
                <w:kern w:val="0"/>
                <w:sz w:val="24"/>
                <w:szCs w:val="24"/>
              </w:rPr>
              <w:t>2026年夏季学期</w:t>
            </w:r>
          </w:p>
        </w:tc>
      </w:tr>
      <w:tr w14:paraId="62176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8" w:hRule="atLeast"/>
          <w:jc w:val="center"/>
        </w:trPr>
        <w:tc>
          <w:tcPr>
            <w:tcW w:w="648" w:type="dxa"/>
            <w:noWrap/>
            <w:vAlign w:val="center"/>
          </w:tcPr>
          <w:p w14:paraId="76BA27DF">
            <w:pPr>
              <w:jc w:val="center"/>
              <w:rPr>
                <w:rFonts w:ascii="仿宋_GB2312" w:eastAsia="仿宋_GB2312"/>
                <w:kern w:val="0"/>
                <w:sz w:val="24"/>
                <w:szCs w:val="24"/>
              </w:rPr>
            </w:pPr>
            <w:r>
              <w:rPr>
                <w:rFonts w:hint="eastAsia" w:ascii="仿宋_GB2312" w:eastAsia="仿宋_GB2312"/>
                <w:kern w:val="0"/>
                <w:sz w:val="24"/>
                <w:szCs w:val="24"/>
              </w:rPr>
              <w:t>3</w:t>
            </w:r>
          </w:p>
        </w:tc>
        <w:tc>
          <w:tcPr>
            <w:tcW w:w="2946" w:type="dxa"/>
            <w:noWrap/>
            <w:vAlign w:val="center"/>
          </w:tcPr>
          <w:p w14:paraId="22C959B4">
            <w:pPr>
              <w:jc w:val="center"/>
              <w:rPr>
                <w:rFonts w:ascii="仿宋_GB2312" w:eastAsia="仿宋_GB2312"/>
                <w:kern w:val="0"/>
                <w:sz w:val="24"/>
                <w:szCs w:val="24"/>
              </w:rPr>
            </w:pPr>
            <w:r>
              <w:rPr>
                <w:rFonts w:hint="eastAsia" w:ascii="宋体" w:hAnsi="宋体" w:eastAsia="宋体" w:cs="宋体"/>
                <w:kern w:val="0"/>
                <w:sz w:val="24"/>
                <w:szCs w:val="24"/>
              </w:rPr>
              <w:t>党务管理专题</w:t>
            </w:r>
          </w:p>
        </w:tc>
        <w:tc>
          <w:tcPr>
            <w:tcW w:w="870" w:type="dxa"/>
            <w:noWrap/>
            <w:vAlign w:val="center"/>
          </w:tcPr>
          <w:p w14:paraId="3EE0D0DC">
            <w:pPr>
              <w:jc w:val="center"/>
              <w:rPr>
                <w:rFonts w:ascii="仿宋_GB2312" w:eastAsia="仿宋_GB2312"/>
                <w:kern w:val="0"/>
                <w:sz w:val="24"/>
                <w:szCs w:val="24"/>
              </w:rPr>
            </w:pPr>
            <w:r>
              <w:rPr>
                <w:rFonts w:hint="eastAsia" w:ascii="仿宋_GB2312" w:eastAsia="仿宋_GB2312"/>
                <w:kern w:val="0"/>
                <w:sz w:val="24"/>
                <w:szCs w:val="24"/>
              </w:rPr>
              <w:t>2</w:t>
            </w:r>
          </w:p>
        </w:tc>
        <w:tc>
          <w:tcPr>
            <w:tcW w:w="852" w:type="dxa"/>
            <w:noWrap/>
            <w:vAlign w:val="center"/>
          </w:tcPr>
          <w:p w14:paraId="56DC0FAE">
            <w:pPr>
              <w:jc w:val="center"/>
              <w:rPr>
                <w:rFonts w:ascii="仿宋_GB2312" w:eastAsia="仿宋_GB2312"/>
                <w:kern w:val="0"/>
                <w:sz w:val="24"/>
                <w:szCs w:val="24"/>
              </w:rPr>
            </w:pPr>
            <w:r>
              <w:rPr>
                <w:rFonts w:hint="eastAsia" w:ascii="仿宋_GB2312" w:eastAsia="仿宋_GB2312"/>
                <w:kern w:val="0"/>
                <w:sz w:val="24"/>
                <w:szCs w:val="24"/>
              </w:rPr>
              <w:t>30</w:t>
            </w:r>
          </w:p>
        </w:tc>
        <w:tc>
          <w:tcPr>
            <w:tcW w:w="3150" w:type="dxa"/>
            <w:noWrap/>
            <w:vAlign w:val="center"/>
          </w:tcPr>
          <w:p w14:paraId="091BBEE1">
            <w:pPr>
              <w:jc w:val="center"/>
              <w:rPr>
                <w:rFonts w:ascii="宋体" w:hAnsi="宋体" w:eastAsia="宋体" w:cs="宋体"/>
                <w:kern w:val="0"/>
                <w:sz w:val="24"/>
                <w:szCs w:val="24"/>
              </w:rPr>
            </w:pPr>
            <w:r>
              <w:rPr>
                <w:rFonts w:hint="eastAsia" w:ascii="宋体" w:hAnsi="宋体" w:eastAsia="宋体" w:cs="宋体"/>
                <w:kern w:val="0"/>
                <w:sz w:val="24"/>
                <w:szCs w:val="24"/>
              </w:rPr>
              <w:t>2026年夏季学期</w:t>
            </w:r>
          </w:p>
        </w:tc>
      </w:tr>
      <w:tr w14:paraId="7D389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8" w:hRule="atLeast"/>
          <w:jc w:val="center"/>
        </w:trPr>
        <w:tc>
          <w:tcPr>
            <w:tcW w:w="648" w:type="dxa"/>
            <w:noWrap/>
            <w:vAlign w:val="center"/>
          </w:tcPr>
          <w:p w14:paraId="432C12F0">
            <w:pPr>
              <w:jc w:val="center"/>
              <w:rPr>
                <w:rFonts w:ascii="仿宋_GB2312" w:eastAsia="仿宋_GB2312"/>
                <w:kern w:val="0"/>
                <w:sz w:val="24"/>
                <w:szCs w:val="24"/>
              </w:rPr>
            </w:pPr>
            <w:r>
              <w:rPr>
                <w:rFonts w:hint="eastAsia" w:ascii="仿宋_GB2312" w:eastAsia="仿宋_GB2312"/>
                <w:kern w:val="0"/>
                <w:sz w:val="24"/>
                <w:szCs w:val="24"/>
              </w:rPr>
              <w:t>4</w:t>
            </w:r>
          </w:p>
        </w:tc>
        <w:tc>
          <w:tcPr>
            <w:tcW w:w="2946" w:type="dxa"/>
            <w:noWrap/>
            <w:vAlign w:val="center"/>
          </w:tcPr>
          <w:p w14:paraId="34352410">
            <w:pPr>
              <w:jc w:val="center"/>
              <w:rPr>
                <w:rFonts w:ascii="仿宋_GB2312" w:eastAsia="仿宋_GB2312"/>
                <w:kern w:val="0"/>
                <w:sz w:val="24"/>
                <w:szCs w:val="24"/>
              </w:rPr>
            </w:pPr>
            <w:r>
              <w:rPr>
                <w:rFonts w:hint="eastAsia" w:ascii="宋体" w:hAnsi="宋体" w:eastAsia="宋体" w:cs="宋体"/>
                <w:kern w:val="0"/>
                <w:sz w:val="24"/>
                <w:szCs w:val="24"/>
              </w:rPr>
              <w:t>党务公文写作专题</w:t>
            </w:r>
          </w:p>
        </w:tc>
        <w:tc>
          <w:tcPr>
            <w:tcW w:w="870" w:type="dxa"/>
            <w:noWrap/>
            <w:vAlign w:val="center"/>
          </w:tcPr>
          <w:p w14:paraId="1EE82E75">
            <w:pPr>
              <w:jc w:val="center"/>
              <w:rPr>
                <w:rFonts w:ascii="仿宋_GB2312" w:eastAsia="仿宋_GB2312"/>
                <w:kern w:val="0"/>
                <w:sz w:val="24"/>
                <w:szCs w:val="24"/>
              </w:rPr>
            </w:pPr>
            <w:r>
              <w:rPr>
                <w:rFonts w:hint="eastAsia" w:ascii="仿宋_GB2312" w:eastAsia="仿宋_GB2312"/>
                <w:kern w:val="0"/>
                <w:sz w:val="24"/>
                <w:szCs w:val="24"/>
              </w:rPr>
              <w:t>2</w:t>
            </w:r>
          </w:p>
        </w:tc>
        <w:tc>
          <w:tcPr>
            <w:tcW w:w="852" w:type="dxa"/>
            <w:noWrap/>
            <w:vAlign w:val="center"/>
          </w:tcPr>
          <w:p w14:paraId="504CABA6">
            <w:pPr>
              <w:jc w:val="center"/>
              <w:rPr>
                <w:rFonts w:ascii="仿宋_GB2312" w:eastAsia="仿宋_GB2312"/>
                <w:kern w:val="0"/>
                <w:sz w:val="24"/>
                <w:szCs w:val="24"/>
              </w:rPr>
            </w:pPr>
            <w:r>
              <w:rPr>
                <w:rFonts w:hint="eastAsia" w:ascii="仿宋_GB2312" w:eastAsia="仿宋_GB2312"/>
                <w:kern w:val="0"/>
                <w:sz w:val="24"/>
                <w:szCs w:val="24"/>
              </w:rPr>
              <w:t>30</w:t>
            </w:r>
          </w:p>
        </w:tc>
        <w:tc>
          <w:tcPr>
            <w:tcW w:w="3150" w:type="dxa"/>
            <w:noWrap/>
            <w:vAlign w:val="center"/>
          </w:tcPr>
          <w:p w14:paraId="55560EBA">
            <w:pPr>
              <w:jc w:val="center"/>
              <w:rPr>
                <w:rFonts w:ascii="宋体" w:hAnsi="宋体" w:eastAsia="宋体" w:cs="宋体"/>
                <w:kern w:val="0"/>
                <w:sz w:val="24"/>
                <w:szCs w:val="24"/>
              </w:rPr>
            </w:pPr>
            <w:r>
              <w:rPr>
                <w:rFonts w:hint="eastAsia" w:ascii="宋体" w:hAnsi="宋体" w:eastAsia="宋体" w:cs="宋体"/>
                <w:kern w:val="0"/>
                <w:sz w:val="24"/>
                <w:szCs w:val="24"/>
              </w:rPr>
              <w:t>2026年夏季学期</w:t>
            </w:r>
          </w:p>
        </w:tc>
      </w:tr>
    </w:tbl>
    <w:p w14:paraId="431A81A1">
      <w:pPr>
        <w:spacing w:line="560" w:lineRule="exact"/>
        <w:ind w:firstLine="361" w:firstLineChars="150"/>
        <w:rPr>
          <w:rFonts w:ascii="宋体" w:hAnsi="宋体" w:eastAsia="宋体" w:cs="宋体"/>
          <w:b/>
          <w:sz w:val="24"/>
        </w:rPr>
      </w:pPr>
      <w:r>
        <w:rPr>
          <w:rFonts w:hint="eastAsia" w:ascii="宋体" w:hAnsi="宋体" w:eastAsia="宋体" w:cs="宋体"/>
          <w:b/>
          <w:sz w:val="24"/>
        </w:rPr>
        <w:t>附：课程简介</w:t>
      </w:r>
    </w:p>
    <w:p w14:paraId="513A9E50">
      <w:pPr>
        <w:spacing w:line="360" w:lineRule="auto"/>
        <w:ind w:firstLine="482" w:firstLineChars="200"/>
        <w:rPr>
          <w:rFonts w:ascii="宋体" w:hAnsi="宋体" w:eastAsia="宋体"/>
          <w:b/>
          <w:bCs/>
          <w:color w:val="4D4D4D"/>
          <w:sz w:val="24"/>
          <w:szCs w:val="24"/>
        </w:rPr>
      </w:pPr>
      <w:r>
        <w:rPr>
          <w:rFonts w:ascii="宋体" w:hAnsi="宋体" w:eastAsia="宋体"/>
          <w:b/>
          <w:bCs/>
          <w:color w:val="4D4D4D"/>
          <w:sz w:val="24"/>
          <w:szCs w:val="24"/>
        </w:rPr>
        <w:t>1.《中国共产党历史》课程</w:t>
      </w:r>
    </w:p>
    <w:p w14:paraId="1FC9D1D2">
      <w:pPr>
        <w:spacing w:line="360" w:lineRule="auto"/>
        <w:ind w:firstLine="480" w:firstLineChars="200"/>
        <w:rPr>
          <w:rFonts w:ascii="宋体" w:hAnsi="宋体" w:eastAsia="宋体"/>
          <w:color w:val="4D4D4D"/>
          <w:sz w:val="24"/>
          <w:szCs w:val="24"/>
        </w:rPr>
      </w:pPr>
      <w:r>
        <w:rPr>
          <w:rFonts w:ascii="宋体" w:hAnsi="宋体" w:eastAsia="宋体"/>
          <w:color w:val="4D4D4D"/>
          <w:sz w:val="24"/>
          <w:szCs w:val="24"/>
        </w:rPr>
        <w:t>“中国共产党历史”是一门系统阐述党的奋斗历程与历史经验的课程。课程目标在于系统学习中国共产党百年奋斗的光辉历程、伟大贡献与历史经验，深刻理解中国共产党为什么能、马克思主义为什么行、中国特色社会主义为什么好，增强历史自信与政治认同，夯实党务工作的历史根基。主要内容涵盖新民主主义革命时期、社会主义革命和建设时期、改革开放和社会主义现代化建设新时期、中国特色社会主义新时代的重大事件、重要会议、重要人物与基本经验。</w:t>
      </w:r>
    </w:p>
    <w:p w14:paraId="65E10336">
      <w:pPr>
        <w:spacing w:line="360" w:lineRule="auto"/>
        <w:ind w:firstLine="482" w:firstLineChars="200"/>
        <w:rPr>
          <w:rFonts w:ascii="宋体" w:hAnsi="宋体" w:eastAsia="宋体"/>
          <w:b/>
          <w:bCs/>
          <w:color w:val="4D4D4D"/>
          <w:sz w:val="24"/>
          <w:szCs w:val="24"/>
        </w:rPr>
      </w:pPr>
      <w:r>
        <w:rPr>
          <w:rFonts w:ascii="宋体" w:hAnsi="宋体" w:eastAsia="宋体"/>
          <w:b/>
          <w:bCs/>
          <w:color w:val="4D4D4D"/>
          <w:sz w:val="24"/>
          <w:szCs w:val="24"/>
        </w:rPr>
        <w:t>2.《党的建设理论专题》课程</w:t>
      </w:r>
    </w:p>
    <w:p w14:paraId="2630CD48">
      <w:pPr>
        <w:spacing w:line="360" w:lineRule="auto"/>
        <w:ind w:firstLine="480" w:firstLineChars="200"/>
        <w:rPr>
          <w:rFonts w:ascii="宋体" w:hAnsi="宋体" w:eastAsia="宋体"/>
          <w:color w:val="4D4D4D"/>
          <w:sz w:val="24"/>
          <w:szCs w:val="24"/>
        </w:rPr>
      </w:pPr>
      <w:r>
        <w:rPr>
          <w:rFonts w:ascii="宋体" w:hAnsi="宋体" w:eastAsia="宋体"/>
          <w:color w:val="4D4D4D"/>
          <w:sz w:val="24"/>
          <w:szCs w:val="24"/>
        </w:rPr>
        <w:t>“党的建设理论专题”旨在提升学生的理论素养与政治判断力。课程目标在于掌握新时代党的建设总要求和新时代党的组织路线，理解党的政治建设、思想建设、组织建设、作风建设、纪律建设和制度建设的基本理论。主要内容包括马克思主义建党学说、党章党规党纪、新时代党的建设理论创新、基层党组织建设基本原理以及全面从严治党理论与实践。</w:t>
      </w:r>
    </w:p>
    <w:p w14:paraId="215E26E5">
      <w:pPr>
        <w:spacing w:line="360" w:lineRule="auto"/>
        <w:ind w:firstLine="482" w:firstLineChars="200"/>
        <w:rPr>
          <w:rFonts w:ascii="宋体" w:hAnsi="宋体" w:eastAsia="宋体"/>
          <w:b/>
          <w:bCs/>
          <w:color w:val="4D4D4D"/>
          <w:sz w:val="24"/>
          <w:szCs w:val="24"/>
        </w:rPr>
      </w:pPr>
      <w:r>
        <w:rPr>
          <w:rFonts w:ascii="宋体" w:hAnsi="宋体" w:eastAsia="宋体"/>
          <w:b/>
          <w:bCs/>
          <w:color w:val="4D4D4D"/>
          <w:sz w:val="24"/>
          <w:szCs w:val="24"/>
        </w:rPr>
        <w:t>3.《党务管理专题》课程</w:t>
      </w:r>
    </w:p>
    <w:p w14:paraId="158FE95B">
      <w:pPr>
        <w:spacing w:line="360" w:lineRule="auto"/>
        <w:ind w:firstLine="480" w:firstLineChars="200"/>
        <w:rPr>
          <w:rFonts w:ascii="宋体" w:hAnsi="宋体" w:eastAsia="宋体"/>
          <w:color w:val="4D4D4D"/>
          <w:sz w:val="24"/>
          <w:szCs w:val="24"/>
        </w:rPr>
      </w:pPr>
      <w:r>
        <w:rPr>
          <w:rFonts w:ascii="宋体" w:hAnsi="宋体" w:eastAsia="宋体"/>
          <w:color w:val="4D4D4D"/>
          <w:sz w:val="24"/>
          <w:szCs w:val="24"/>
        </w:rPr>
        <w:t>“党务管理专题”聚焦党务实操能力培养与流程规范。课程目标在于熟悉基层党务工作全流程，提升组织执行与规范管理能力。主要内容涉及基层党组织设置与换届选举、党员发展与教育管理、“三会一课”与组织生活规范、党费收缴使用管理、组织关系转接、党务公开及智慧党建平台应用等实务模块。</w:t>
      </w:r>
    </w:p>
    <w:p w14:paraId="1372D874">
      <w:pPr>
        <w:spacing w:line="360" w:lineRule="auto"/>
        <w:ind w:firstLine="482" w:firstLineChars="200"/>
        <w:rPr>
          <w:rFonts w:ascii="宋体" w:hAnsi="宋体" w:eastAsia="宋体"/>
          <w:b/>
          <w:bCs/>
          <w:color w:val="4D4D4D"/>
          <w:sz w:val="24"/>
          <w:szCs w:val="24"/>
        </w:rPr>
      </w:pPr>
      <w:r>
        <w:rPr>
          <w:rFonts w:ascii="宋体" w:hAnsi="宋体" w:eastAsia="宋体"/>
          <w:b/>
          <w:bCs/>
          <w:color w:val="4D4D4D"/>
          <w:sz w:val="24"/>
          <w:szCs w:val="24"/>
        </w:rPr>
        <w:t>4.《党务公文写作专题》课程</w:t>
      </w:r>
    </w:p>
    <w:p w14:paraId="5177BA5C">
      <w:pPr>
        <w:spacing w:line="360" w:lineRule="auto"/>
        <w:ind w:firstLine="480" w:firstLineChars="200"/>
        <w:rPr>
          <w:rFonts w:ascii="宋体" w:hAnsi="宋体" w:eastAsia="宋体"/>
          <w:color w:val="4D4D4D"/>
          <w:sz w:val="24"/>
          <w:szCs w:val="24"/>
        </w:rPr>
      </w:pPr>
      <w:r>
        <w:rPr>
          <w:rFonts w:ascii="宋体" w:hAnsi="宋体" w:eastAsia="宋体"/>
          <w:color w:val="4D4D4D"/>
          <w:sz w:val="24"/>
          <w:szCs w:val="24"/>
        </w:rPr>
        <w:t>“党务公文写作专题”旨在提升学生的公文撰写与文字综合能力。课程目标在于掌握党务常用文体规范，提升公文撰写、材料整理、党建宣传写作能力，做到格式规范、表述准确、文风务实。主要内容包括决议、决定、请示、报告、通知、通报、工作总结、讲话稿、心得体会、党建活动方案等常用党务文书的写作规范与实操训练。</w:t>
      </w:r>
    </w:p>
    <w:p w14:paraId="0DF3E2A8">
      <w:pPr>
        <w:spacing w:line="360" w:lineRule="auto"/>
        <w:ind w:firstLine="480" w:firstLineChars="200"/>
        <w:rPr>
          <w:rFonts w:ascii="宋体" w:hAnsi="宋体" w:eastAsia="宋体"/>
          <w:color w:val="4D4D4D"/>
          <w:sz w:val="24"/>
          <w:szCs w:val="24"/>
        </w:rPr>
      </w:pPr>
    </w:p>
    <w:p w14:paraId="171D9504">
      <w:pPr>
        <w:spacing w:line="360" w:lineRule="auto"/>
        <w:ind w:firstLine="480" w:firstLineChars="200"/>
        <w:rPr>
          <w:rFonts w:ascii="宋体" w:hAnsi="宋体" w:eastAsia="宋体"/>
          <w:color w:val="4D4D4D"/>
          <w:sz w:val="24"/>
          <w:szCs w:val="24"/>
        </w:rPr>
      </w:pPr>
      <w:r>
        <w:rPr>
          <w:rStyle w:val="11"/>
          <w:rFonts w:hint="eastAsia" w:ascii="黑体" w:hAnsi="黑体" w:eastAsia="黑体" w:cs="黑体"/>
          <w:b w:val="0"/>
          <w:bCs w:val="0"/>
          <w:color w:val="4D4D4D"/>
          <w:sz w:val="24"/>
          <w:szCs w:val="24"/>
        </w:rPr>
        <w:t>五、师资力量</w:t>
      </w:r>
    </w:p>
    <w:p w14:paraId="62B435C9">
      <w:pPr>
        <w:spacing w:line="360" w:lineRule="auto"/>
        <w:ind w:firstLine="480" w:firstLineChars="200"/>
        <w:rPr>
          <w:rFonts w:ascii="宋体" w:hAnsi="宋体" w:eastAsia="宋体" w:cs="宋体"/>
          <w:bCs/>
          <w:sz w:val="24"/>
        </w:rPr>
      </w:pPr>
      <w:r>
        <w:rPr>
          <w:rFonts w:ascii="宋体" w:hAnsi="宋体" w:eastAsia="宋体" w:cs="宋体"/>
          <w:bCs/>
          <w:sz w:val="24"/>
        </w:rPr>
        <w:t>徐世甫 教授 上海政法学院马克思主义学院</w:t>
      </w:r>
    </w:p>
    <w:p w14:paraId="553FE6DD">
      <w:pPr>
        <w:spacing w:line="360" w:lineRule="auto"/>
        <w:ind w:firstLine="480" w:firstLineChars="200"/>
        <w:rPr>
          <w:rFonts w:ascii="宋体" w:hAnsi="宋体" w:eastAsia="宋体" w:cs="宋体"/>
          <w:bCs/>
          <w:sz w:val="24"/>
        </w:rPr>
      </w:pPr>
      <w:r>
        <w:rPr>
          <w:rFonts w:ascii="宋体" w:hAnsi="宋体" w:eastAsia="宋体" w:cs="宋体"/>
          <w:bCs/>
          <w:sz w:val="24"/>
        </w:rPr>
        <w:t>杨 华 副教授 上海政法学院马克思主义学院</w:t>
      </w:r>
    </w:p>
    <w:p w14:paraId="0C67B6B3">
      <w:pPr>
        <w:spacing w:line="360" w:lineRule="auto"/>
        <w:ind w:firstLine="480" w:firstLineChars="200"/>
        <w:rPr>
          <w:rFonts w:ascii="宋体" w:hAnsi="宋体" w:eastAsia="宋体" w:cs="宋体"/>
          <w:bCs/>
          <w:sz w:val="24"/>
        </w:rPr>
      </w:pPr>
      <w:r>
        <w:rPr>
          <w:rFonts w:ascii="宋体" w:hAnsi="宋体" w:eastAsia="宋体" w:cs="宋体"/>
          <w:bCs/>
          <w:sz w:val="24"/>
        </w:rPr>
        <w:t>林升宝 副教授 上海政法学院马克思主义学院</w:t>
      </w:r>
    </w:p>
    <w:p w14:paraId="65DB60CF">
      <w:pPr>
        <w:spacing w:line="360" w:lineRule="auto"/>
        <w:ind w:firstLine="480" w:firstLineChars="200"/>
        <w:rPr>
          <w:rFonts w:ascii="宋体" w:hAnsi="宋体" w:eastAsia="宋体" w:cs="宋体"/>
          <w:bCs/>
          <w:sz w:val="24"/>
        </w:rPr>
      </w:pPr>
      <w:r>
        <w:rPr>
          <w:rFonts w:ascii="宋体" w:hAnsi="宋体" w:eastAsia="宋体" w:cs="宋体"/>
          <w:bCs/>
          <w:sz w:val="24"/>
        </w:rPr>
        <w:t>赵凌飞 讲师 上海政法学院马克思主义学院</w:t>
      </w:r>
    </w:p>
    <w:p w14:paraId="22D226B3">
      <w:pPr>
        <w:spacing w:line="360" w:lineRule="auto"/>
        <w:ind w:firstLine="480" w:firstLineChars="200"/>
        <w:rPr>
          <w:rFonts w:ascii="宋体" w:hAnsi="宋体" w:eastAsia="宋体" w:cs="宋体"/>
          <w:bCs/>
          <w:sz w:val="24"/>
        </w:rPr>
      </w:pPr>
      <w:r>
        <w:rPr>
          <w:rFonts w:ascii="宋体" w:hAnsi="宋体" w:eastAsia="宋体" w:cs="宋体"/>
          <w:bCs/>
          <w:sz w:val="24"/>
        </w:rPr>
        <w:t>刘伟伟 副教授 上海政法学院中国－上合司法培训基地</w:t>
      </w:r>
    </w:p>
    <w:p w14:paraId="5928DF28">
      <w:pPr>
        <w:spacing w:line="360" w:lineRule="auto"/>
        <w:ind w:firstLine="480" w:firstLineChars="200"/>
        <w:rPr>
          <w:rFonts w:ascii="宋体" w:hAnsi="宋体" w:eastAsia="宋体" w:cs="宋体"/>
          <w:bCs/>
          <w:sz w:val="24"/>
        </w:rPr>
      </w:pPr>
      <w:r>
        <w:rPr>
          <w:rFonts w:ascii="宋体" w:hAnsi="宋体" w:eastAsia="宋体" w:cs="宋体"/>
          <w:bCs/>
          <w:sz w:val="24"/>
        </w:rPr>
        <w:t>段媛媛 副教授 上海政法学院政府管理学院</w:t>
      </w:r>
    </w:p>
    <w:p w14:paraId="76CB4F27">
      <w:pPr>
        <w:spacing w:line="360" w:lineRule="auto"/>
        <w:ind w:firstLine="480" w:firstLineChars="200"/>
        <w:rPr>
          <w:rFonts w:ascii="宋体" w:hAnsi="宋体" w:eastAsia="宋体" w:cs="宋体"/>
          <w:bCs/>
          <w:sz w:val="24"/>
        </w:rPr>
      </w:pPr>
      <w:r>
        <w:rPr>
          <w:rFonts w:ascii="宋体" w:hAnsi="宋体" w:eastAsia="宋体" w:cs="宋体"/>
          <w:bCs/>
          <w:sz w:val="24"/>
        </w:rPr>
        <w:t>马莉莉 中学高级教师 上海市三新学校松江东部分校（党建实务专家）</w:t>
      </w:r>
    </w:p>
    <w:p w14:paraId="2D5828B2">
      <w:pPr>
        <w:spacing w:line="360" w:lineRule="auto"/>
        <w:ind w:firstLine="480" w:firstLineChars="200"/>
        <w:rPr>
          <w:rFonts w:ascii="宋体" w:hAnsi="宋体" w:eastAsia="宋体" w:cs="宋体"/>
          <w:bCs/>
          <w:sz w:val="24"/>
        </w:rPr>
      </w:pPr>
      <w:r>
        <w:rPr>
          <w:rFonts w:ascii="宋体" w:hAnsi="宋体" w:eastAsia="宋体" w:cs="宋体"/>
          <w:bCs/>
          <w:sz w:val="24"/>
        </w:rPr>
        <w:t>赵 峰 管理七级 青浦区宣传教育服务中心（党史宣传专家）</w:t>
      </w:r>
    </w:p>
    <w:p w14:paraId="536BF427">
      <w:pPr>
        <w:spacing w:line="360" w:lineRule="auto"/>
        <w:ind w:firstLine="480" w:firstLineChars="200"/>
        <w:rPr>
          <w:rFonts w:ascii="宋体" w:hAnsi="宋体" w:eastAsia="宋体" w:cs="宋体"/>
          <w:bCs/>
          <w:sz w:val="24"/>
        </w:rPr>
      </w:pPr>
      <w:r>
        <w:rPr>
          <w:rFonts w:ascii="宋体" w:hAnsi="宋体" w:eastAsia="宋体" w:cs="宋体"/>
          <w:bCs/>
          <w:sz w:val="24"/>
        </w:rPr>
        <w:t>余俊伟 党群工作专家 江南造船厂党群部</w:t>
      </w:r>
    </w:p>
    <w:p w14:paraId="57F0494B">
      <w:pPr>
        <w:spacing w:line="360" w:lineRule="auto"/>
        <w:ind w:firstLine="480" w:firstLineChars="200"/>
        <w:rPr>
          <w:rFonts w:ascii="宋体" w:hAnsi="宋体" w:eastAsia="宋体" w:cs="宋体"/>
          <w:bCs/>
          <w:sz w:val="24"/>
        </w:rPr>
      </w:pPr>
      <w:r>
        <w:rPr>
          <w:rFonts w:ascii="宋体" w:hAnsi="宋体" w:eastAsia="宋体" w:cs="宋体"/>
          <w:bCs/>
          <w:sz w:val="24"/>
        </w:rPr>
        <w:t>郑张根 公文写作专家 市府办</w:t>
      </w:r>
    </w:p>
    <w:p w14:paraId="14F2DF3E">
      <w:pPr>
        <w:spacing w:line="360" w:lineRule="auto"/>
        <w:ind w:left="1200"/>
        <w:rPr>
          <w:rFonts w:ascii="宋体" w:hAnsi="宋体" w:eastAsia="宋体" w:cs="宋体"/>
          <w:bCs/>
          <w:sz w:val="24"/>
        </w:rPr>
      </w:pPr>
    </w:p>
    <w:p w14:paraId="29A73827">
      <w:pPr>
        <w:spacing w:line="360" w:lineRule="auto"/>
        <w:ind w:firstLine="480" w:firstLineChars="200"/>
        <w:rPr>
          <w:rStyle w:val="11"/>
          <w:rFonts w:ascii="黑体" w:hAnsi="黑体" w:eastAsia="黑体" w:cs="黑体"/>
          <w:b w:val="0"/>
          <w:bCs w:val="0"/>
          <w:color w:val="000000" w:themeColor="text1"/>
          <w:sz w:val="24"/>
          <w:szCs w:val="24"/>
        </w:rPr>
      </w:pPr>
      <w:r>
        <w:rPr>
          <w:rStyle w:val="11"/>
          <w:rFonts w:hint="eastAsia" w:ascii="黑体" w:hAnsi="黑体" w:eastAsia="黑体" w:cs="黑体"/>
          <w:b w:val="0"/>
          <w:bCs w:val="0"/>
          <w:color w:val="000000" w:themeColor="text1"/>
          <w:sz w:val="24"/>
          <w:szCs w:val="24"/>
        </w:rPr>
        <w:t>六、学制及证书</w:t>
      </w:r>
    </w:p>
    <w:p w14:paraId="1075466B">
      <w:pPr>
        <w:spacing w:line="360" w:lineRule="auto"/>
        <w:ind w:firstLine="480" w:firstLineChars="200"/>
        <w:rPr>
          <w:rFonts w:ascii="宋体" w:hAnsi="宋体" w:eastAsia="宋体"/>
          <w:color w:val="000000" w:themeColor="text1"/>
          <w:sz w:val="24"/>
          <w:szCs w:val="24"/>
        </w:rPr>
      </w:pPr>
      <w:r>
        <w:rPr>
          <w:rFonts w:hint="eastAsia" w:ascii="宋体" w:hAnsi="宋体" w:eastAsia="宋体"/>
          <w:color w:val="000000" w:themeColor="text1"/>
          <w:sz w:val="24"/>
          <w:szCs w:val="24"/>
        </w:rPr>
        <w:t>本微专业修读年限为1个学期。完成全部课程修满学分的同学可获得上海政法学院颁发的“</w:t>
      </w:r>
      <w:r>
        <w:rPr>
          <w:rFonts w:hint="eastAsia" w:ascii="黑体" w:eastAsia="黑体"/>
          <w:b/>
          <w:color w:val="000000" w:themeColor="text1"/>
          <w:sz w:val="24"/>
        </w:rPr>
        <w:t>党务管理</w:t>
      </w:r>
      <w:r>
        <w:rPr>
          <w:rFonts w:hint="eastAsia" w:ascii="宋体" w:hAnsi="宋体" w:eastAsia="宋体"/>
          <w:color w:val="000000" w:themeColor="text1"/>
          <w:sz w:val="24"/>
          <w:szCs w:val="24"/>
        </w:rPr>
        <w:t>微专业结业证书”。</w:t>
      </w:r>
    </w:p>
    <w:p w14:paraId="555E3D47">
      <w:pPr>
        <w:spacing w:line="360" w:lineRule="auto"/>
        <w:ind w:firstLine="480" w:firstLineChars="200"/>
        <w:rPr>
          <w:rFonts w:ascii="宋体" w:hAnsi="宋体" w:eastAsia="宋体"/>
          <w:color w:val="000000" w:themeColor="text1"/>
          <w:sz w:val="24"/>
          <w:szCs w:val="24"/>
        </w:rPr>
      </w:pPr>
    </w:p>
    <w:p w14:paraId="283464EA">
      <w:pPr>
        <w:spacing w:line="360" w:lineRule="auto"/>
        <w:ind w:firstLine="480" w:firstLineChars="200"/>
        <w:rPr>
          <w:rStyle w:val="11"/>
          <w:rFonts w:ascii="黑体" w:hAnsi="黑体" w:eastAsia="黑体" w:cs="黑体"/>
          <w:b w:val="0"/>
          <w:bCs w:val="0"/>
          <w:color w:val="000000" w:themeColor="text1"/>
          <w:sz w:val="24"/>
          <w:szCs w:val="24"/>
        </w:rPr>
      </w:pPr>
      <w:r>
        <w:rPr>
          <w:rStyle w:val="11"/>
          <w:rFonts w:hint="eastAsia" w:ascii="黑体" w:hAnsi="黑体" w:eastAsia="黑体" w:cs="黑体"/>
          <w:b w:val="0"/>
          <w:bCs w:val="0"/>
          <w:color w:val="000000" w:themeColor="text1"/>
          <w:sz w:val="24"/>
          <w:szCs w:val="24"/>
        </w:rPr>
        <w:t>七、报名时间与办法</w:t>
      </w:r>
    </w:p>
    <w:p w14:paraId="467E4798">
      <w:pPr>
        <w:spacing w:line="360" w:lineRule="auto"/>
        <w:ind w:firstLine="482" w:firstLineChars="200"/>
        <w:rPr>
          <w:rFonts w:ascii="宋体" w:hAnsi="宋体" w:eastAsia="宋体"/>
          <w:color w:val="4D4D4D"/>
          <w:sz w:val="24"/>
          <w:szCs w:val="24"/>
        </w:rPr>
      </w:pPr>
      <w:r>
        <w:rPr>
          <w:rFonts w:hint="eastAsia" w:ascii="宋体" w:hAnsi="宋体" w:eastAsia="宋体"/>
          <w:b/>
          <w:color w:val="000000" w:themeColor="text1"/>
          <w:sz w:val="24"/>
          <w:szCs w:val="24"/>
        </w:rPr>
        <w:t>报名截止时间：</w:t>
      </w:r>
      <w:r>
        <w:rPr>
          <w:rFonts w:hint="eastAsia" w:ascii="宋体" w:hAnsi="宋体" w:eastAsia="宋体"/>
          <w:color w:val="000000" w:themeColor="text1"/>
          <w:sz w:val="24"/>
          <w:szCs w:val="24"/>
        </w:rPr>
        <w:t>2026年5月1</w:t>
      </w:r>
      <w:r>
        <w:rPr>
          <w:rFonts w:hint="eastAsia" w:ascii="宋体" w:hAnsi="宋体" w:eastAsia="宋体"/>
          <w:color w:val="000000" w:themeColor="text1"/>
          <w:sz w:val="24"/>
          <w:szCs w:val="24"/>
          <w:lang w:val="en-US" w:eastAsia="zh-CN"/>
        </w:rPr>
        <w:t>2</w:t>
      </w:r>
      <w:r>
        <w:rPr>
          <w:rFonts w:hint="eastAsia" w:ascii="宋体" w:hAnsi="宋体" w:eastAsia="宋体"/>
          <w:color w:val="000000" w:themeColor="text1"/>
          <w:sz w:val="24"/>
          <w:szCs w:val="24"/>
        </w:rPr>
        <w:t>日（星期</w:t>
      </w:r>
      <w:r>
        <w:rPr>
          <w:rFonts w:hint="eastAsia" w:ascii="宋体" w:hAnsi="宋体" w:eastAsia="宋体"/>
          <w:color w:val="000000" w:themeColor="text1"/>
          <w:sz w:val="24"/>
          <w:szCs w:val="24"/>
          <w:lang w:val="en-US" w:eastAsia="zh-CN"/>
        </w:rPr>
        <w:t>二</w:t>
      </w:r>
      <w:r>
        <w:rPr>
          <w:rFonts w:hint="eastAsia" w:ascii="宋体" w:hAnsi="宋体" w:eastAsia="宋体"/>
          <w:color w:val="000000" w:themeColor="text1"/>
          <w:sz w:val="24"/>
          <w:szCs w:val="24"/>
        </w:rPr>
        <w:t>）。</w:t>
      </w:r>
    </w:p>
    <w:p w14:paraId="1B58F1EA">
      <w:pPr>
        <w:spacing w:line="360" w:lineRule="auto"/>
        <w:ind w:firstLine="482" w:firstLineChars="200"/>
        <w:rPr>
          <w:rFonts w:ascii="宋体" w:hAnsi="宋体" w:eastAsia="宋体"/>
          <w:color w:val="4D4D4D"/>
          <w:sz w:val="24"/>
          <w:szCs w:val="24"/>
        </w:rPr>
      </w:pPr>
      <w:r>
        <w:rPr>
          <w:rFonts w:hint="eastAsia" w:ascii="宋体" w:hAnsi="宋体" w:eastAsia="宋体"/>
          <w:b/>
          <w:color w:val="000000" w:themeColor="text1"/>
          <w:sz w:val="24"/>
          <w:szCs w:val="24"/>
        </w:rPr>
        <w:t>报名办法：</w:t>
      </w:r>
      <w:r>
        <w:rPr>
          <w:rFonts w:hint="eastAsia" w:ascii="宋体" w:hAnsi="宋体" w:eastAsia="宋体"/>
          <w:color w:val="000000" w:themeColor="text1"/>
          <w:sz w:val="24"/>
          <w:szCs w:val="24"/>
        </w:rPr>
        <w:t>请符合报名条件的同学将《上海政法学院本科生修读微专业申请表》及本人成绩单纸质版提交至马克思主义学院A6-304办公室，同时将电子版发送到lingshengbao@163.com。</w:t>
      </w:r>
    </w:p>
    <w:p w14:paraId="5CF725FA">
      <w:pPr>
        <w:spacing w:line="360" w:lineRule="auto"/>
        <w:ind w:firstLine="482" w:firstLineChars="200"/>
        <w:rPr>
          <w:rFonts w:ascii="宋体" w:hAnsi="宋体" w:eastAsia="宋体"/>
          <w:color w:val="4D4D4D"/>
          <w:sz w:val="24"/>
          <w:szCs w:val="24"/>
        </w:rPr>
      </w:pPr>
      <w:r>
        <w:rPr>
          <w:rFonts w:hint="eastAsia" w:ascii="宋体" w:hAnsi="宋体" w:eastAsia="宋体"/>
          <w:b/>
          <w:color w:val="4D4D4D"/>
          <w:sz w:val="24"/>
          <w:szCs w:val="24"/>
        </w:rPr>
        <w:t>咨询联系人：</w:t>
      </w:r>
      <w:r>
        <w:rPr>
          <w:rFonts w:hint="eastAsia" w:ascii="宋体" w:hAnsi="宋体" w:eastAsia="宋体"/>
          <w:color w:val="4D4D4D"/>
          <w:sz w:val="24"/>
          <w:szCs w:val="24"/>
        </w:rPr>
        <w:t>林老师；联系方式：1861657460</w:t>
      </w:r>
      <w:bookmarkStart w:id="0" w:name="_GoBack"/>
      <w:bookmarkEnd w:id="0"/>
      <w:r>
        <w:rPr>
          <w:rFonts w:hint="eastAsia" w:ascii="宋体" w:hAnsi="宋体" w:eastAsia="宋体"/>
          <w:color w:val="4D4D4D"/>
          <w:sz w:val="24"/>
          <w:szCs w:val="24"/>
        </w:rPr>
        <w:t>6。</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4EABC38-9153-4D14-970A-82D8CD36D5ED}"/>
  </w:font>
  <w:font w:name="Arial">
    <w:panose1 w:val="020B0604020202020204"/>
    <w:charset w:val="01"/>
    <w:family w:val="swiss"/>
    <w:pitch w:val="default"/>
    <w:sig w:usb0="E0002EFF" w:usb1="C000785B" w:usb2="00000009" w:usb3="00000000" w:csb0="400001FF" w:csb1="FFFF0000"/>
    <w:embedRegular r:id="rId2" w:fontKey="{855965CD-BCD7-4D6C-B8D5-B3A9C3B335B9}"/>
  </w:font>
  <w:font w:name="黑体">
    <w:panose1 w:val="02010609060101010101"/>
    <w:charset w:val="86"/>
    <w:family w:val="auto"/>
    <w:pitch w:val="default"/>
    <w:sig w:usb0="800002BF" w:usb1="38CF7CFA" w:usb2="00000016" w:usb3="00000000" w:csb0="00040001" w:csb1="00000000"/>
    <w:embedRegular r:id="rId3" w:fontKey="{E2B850FE-F548-4377-8F8F-65CF38D1A41D}"/>
  </w:font>
  <w:font w:name="Courier New">
    <w:panose1 w:val="02070309020205020404"/>
    <w:charset w:val="01"/>
    <w:family w:val="modern"/>
    <w:pitch w:val="default"/>
    <w:sig w:usb0="E0002EFF" w:usb1="C0007843" w:usb2="00000009" w:usb3="00000000" w:csb0="400001FF" w:csb1="FFFF0000"/>
    <w:embedRegular r:id="rId4" w:fontKey="{6E2ED84B-7907-4BA3-88E9-4F144FC7628A}"/>
  </w:font>
  <w:font w:name="Symbol">
    <w:panose1 w:val="05050102010706020507"/>
    <w:charset w:val="02"/>
    <w:family w:val="roman"/>
    <w:pitch w:val="default"/>
    <w:sig w:usb0="00000000" w:usb1="00000000" w:usb2="00000000" w:usb3="00000000" w:csb0="80000000" w:csb1="00000000"/>
    <w:embedRegular r:id="rId5" w:fontKey="{B3B0576E-B464-436D-9451-7EC60AD9851D}"/>
  </w:font>
  <w:font w:name="Calibri">
    <w:panose1 w:val="020F0502020204030204"/>
    <w:charset w:val="00"/>
    <w:family w:val="swiss"/>
    <w:pitch w:val="default"/>
    <w:sig w:usb0="E4002EFF" w:usb1="C000247B" w:usb2="00000009" w:usb3="00000000" w:csb0="200001FF" w:csb1="00000000"/>
    <w:embedRegular r:id="rId6" w:fontKey="{4292B671-D846-4A9E-9E27-D6C4A3F4F26F}"/>
  </w:font>
  <w:font w:name="等线">
    <w:panose1 w:val="02010600030101010101"/>
    <w:charset w:val="86"/>
    <w:family w:val="auto"/>
    <w:pitch w:val="default"/>
    <w:sig w:usb0="A00002BF" w:usb1="38CF7CFA" w:usb2="00000016" w:usb3="00000000" w:csb0="0004000F" w:csb1="00000000"/>
    <w:embedRegular r:id="rId7" w:fontKey="{538A1DC5-DEC0-4175-89F1-9F5A355D72E1}"/>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1" w:usb1="080E0000" w:usb2="00000000" w:usb3="00000000" w:csb0="00040000" w:csb1="00000000"/>
    <w:embedRegular r:id="rId8" w:fontKey="{7FA82852-59B0-4ACD-833E-93A321FDAF5E}"/>
  </w:font>
  <w:font w:name="WPSEMBED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9759610"/>
    </w:sdtPr>
    <w:sdtContent>
      <w:sdt>
        <w:sdtPr>
          <w:id w:val="171357217"/>
        </w:sdtPr>
        <w:sdtContent>
          <w:p w14:paraId="0E0A65BE">
            <w:pPr>
              <w:pStyle w:val="4"/>
              <w:jc w:val="center"/>
            </w:pPr>
            <w:r>
              <w:rPr>
                <w:b/>
                <w:sz w:val="24"/>
                <w:szCs w:val="24"/>
              </w:rPr>
              <w:fldChar w:fldCharType="begin"/>
            </w:r>
            <w:r>
              <w:rPr>
                <w:b/>
              </w:rPr>
              <w:instrText xml:space="preserve">PAGE</w:instrText>
            </w:r>
            <w:r>
              <w:rPr>
                <w:b/>
                <w:sz w:val="24"/>
                <w:szCs w:val="24"/>
              </w:rPr>
              <w:fldChar w:fldCharType="separate"/>
            </w:r>
            <w:r>
              <w:rPr>
                <w:b/>
              </w:rPr>
              <w:t>5</w:t>
            </w:r>
            <w:r>
              <w:rPr>
                <w:b/>
                <w:sz w:val="24"/>
                <w:szCs w:val="24"/>
              </w:rPr>
              <w:fldChar w:fldCharType="end"/>
            </w:r>
            <w:r>
              <w:rPr>
                <w:lang w:val="zh-CN"/>
              </w:rPr>
              <w:t xml:space="preserve"> / </w:t>
            </w:r>
            <w:r>
              <w:rPr>
                <w:b/>
                <w:sz w:val="24"/>
                <w:szCs w:val="24"/>
              </w:rPr>
              <w:fldChar w:fldCharType="begin"/>
            </w:r>
            <w:r>
              <w:rPr>
                <w:b/>
              </w:rPr>
              <w:instrText xml:space="preserve">NUMPAGES</w:instrText>
            </w:r>
            <w:r>
              <w:rPr>
                <w:b/>
                <w:sz w:val="24"/>
                <w:szCs w:val="24"/>
              </w:rPr>
              <w:fldChar w:fldCharType="separate"/>
            </w:r>
            <w:r>
              <w:rPr>
                <w:b/>
              </w:rPr>
              <w:t>5</w:t>
            </w:r>
            <w:r>
              <w:rPr>
                <w:b/>
                <w:sz w:val="24"/>
                <w:szCs w:val="24"/>
              </w:rPr>
              <w:fldChar w:fldCharType="end"/>
            </w:r>
          </w:p>
        </w:sdtContent>
      </w:sdt>
    </w:sdtContent>
  </w:sdt>
  <w:p w14:paraId="2901169A">
    <w:pPr>
      <w:pStyle w:val="4"/>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jU3OGNlYzQzZDU3MTczYmFjNTQzZmFiNjBiZTMxNGEifQ=="/>
  </w:docVars>
  <w:rsids>
    <w:rsidRoot w:val="00D6042A"/>
    <w:rsid w:val="000369A0"/>
    <w:rsid w:val="000A439B"/>
    <w:rsid w:val="000D1884"/>
    <w:rsid w:val="000D2EC8"/>
    <w:rsid w:val="00100404"/>
    <w:rsid w:val="00124B60"/>
    <w:rsid w:val="00136B70"/>
    <w:rsid w:val="001717FE"/>
    <w:rsid w:val="00174DA6"/>
    <w:rsid w:val="001833A3"/>
    <w:rsid w:val="001958E2"/>
    <w:rsid w:val="00196538"/>
    <w:rsid w:val="001B2C28"/>
    <w:rsid w:val="001B3FF4"/>
    <w:rsid w:val="001C5EE6"/>
    <w:rsid w:val="001D2869"/>
    <w:rsid w:val="001F16B7"/>
    <w:rsid w:val="00206BF7"/>
    <w:rsid w:val="002A77F6"/>
    <w:rsid w:val="002B60F4"/>
    <w:rsid w:val="002C004A"/>
    <w:rsid w:val="002D18D4"/>
    <w:rsid w:val="002D5AF7"/>
    <w:rsid w:val="002F59A7"/>
    <w:rsid w:val="00321D50"/>
    <w:rsid w:val="00321F30"/>
    <w:rsid w:val="0036058F"/>
    <w:rsid w:val="00364F4F"/>
    <w:rsid w:val="003950AD"/>
    <w:rsid w:val="003C3A12"/>
    <w:rsid w:val="003E777B"/>
    <w:rsid w:val="00466C03"/>
    <w:rsid w:val="004A7969"/>
    <w:rsid w:val="004B36DF"/>
    <w:rsid w:val="004F6FA7"/>
    <w:rsid w:val="00500795"/>
    <w:rsid w:val="00520A98"/>
    <w:rsid w:val="00542F14"/>
    <w:rsid w:val="00547347"/>
    <w:rsid w:val="00551157"/>
    <w:rsid w:val="005551C7"/>
    <w:rsid w:val="00560A26"/>
    <w:rsid w:val="00584C13"/>
    <w:rsid w:val="00587132"/>
    <w:rsid w:val="005A0479"/>
    <w:rsid w:val="005A04AD"/>
    <w:rsid w:val="005B2DF7"/>
    <w:rsid w:val="005D27BE"/>
    <w:rsid w:val="005D29E0"/>
    <w:rsid w:val="005D6EEC"/>
    <w:rsid w:val="005E2780"/>
    <w:rsid w:val="005F42DB"/>
    <w:rsid w:val="0060763F"/>
    <w:rsid w:val="00611EAB"/>
    <w:rsid w:val="00633C8A"/>
    <w:rsid w:val="00645D4C"/>
    <w:rsid w:val="006531F2"/>
    <w:rsid w:val="006645DF"/>
    <w:rsid w:val="00693139"/>
    <w:rsid w:val="00694137"/>
    <w:rsid w:val="00696DDA"/>
    <w:rsid w:val="006A5178"/>
    <w:rsid w:val="00707B89"/>
    <w:rsid w:val="007271D4"/>
    <w:rsid w:val="00776C2A"/>
    <w:rsid w:val="007B1564"/>
    <w:rsid w:val="007B4B0C"/>
    <w:rsid w:val="007B7FCC"/>
    <w:rsid w:val="007D35CA"/>
    <w:rsid w:val="007D77CC"/>
    <w:rsid w:val="007F0CCE"/>
    <w:rsid w:val="00820AF1"/>
    <w:rsid w:val="008219D0"/>
    <w:rsid w:val="00850E52"/>
    <w:rsid w:val="00851B30"/>
    <w:rsid w:val="00861BE1"/>
    <w:rsid w:val="00866FCC"/>
    <w:rsid w:val="008A4C39"/>
    <w:rsid w:val="008B42A9"/>
    <w:rsid w:val="008D4DAC"/>
    <w:rsid w:val="008E0CCD"/>
    <w:rsid w:val="008E5C65"/>
    <w:rsid w:val="009079DE"/>
    <w:rsid w:val="00927D63"/>
    <w:rsid w:val="00931915"/>
    <w:rsid w:val="00933DC7"/>
    <w:rsid w:val="00972539"/>
    <w:rsid w:val="009775BF"/>
    <w:rsid w:val="00981B93"/>
    <w:rsid w:val="00987E04"/>
    <w:rsid w:val="009A6F33"/>
    <w:rsid w:val="009B3317"/>
    <w:rsid w:val="009E6F37"/>
    <w:rsid w:val="009F7003"/>
    <w:rsid w:val="00A21C2A"/>
    <w:rsid w:val="00A2360D"/>
    <w:rsid w:val="00A45DDC"/>
    <w:rsid w:val="00A653CA"/>
    <w:rsid w:val="00A878CB"/>
    <w:rsid w:val="00A92A73"/>
    <w:rsid w:val="00AC1255"/>
    <w:rsid w:val="00B25551"/>
    <w:rsid w:val="00B25EDA"/>
    <w:rsid w:val="00B825E9"/>
    <w:rsid w:val="00B87E6D"/>
    <w:rsid w:val="00B9639D"/>
    <w:rsid w:val="00BB5CBD"/>
    <w:rsid w:val="00BC140C"/>
    <w:rsid w:val="00BC44F5"/>
    <w:rsid w:val="00BC5807"/>
    <w:rsid w:val="00BD3764"/>
    <w:rsid w:val="00BD5B05"/>
    <w:rsid w:val="00BF2BDB"/>
    <w:rsid w:val="00C0429F"/>
    <w:rsid w:val="00C27084"/>
    <w:rsid w:val="00C31B99"/>
    <w:rsid w:val="00C33514"/>
    <w:rsid w:val="00C5719B"/>
    <w:rsid w:val="00C87C62"/>
    <w:rsid w:val="00CA6C03"/>
    <w:rsid w:val="00CE1DA9"/>
    <w:rsid w:val="00CE6A49"/>
    <w:rsid w:val="00D10C18"/>
    <w:rsid w:val="00D15924"/>
    <w:rsid w:val="00D232F5"/>
    <w:rsid w:val="00D6042A"/>
    <w:rsid w:val="00D82EF9"/>
    <w:rsid w:val="00DC2D76"/>
    <w:rsid w:val="00DE1F9B"/>
    <w:rsid w:val="00DE5F17"/>
    <w:rsid w:val="00DF5444"/>
    <w:rsid w:val="00E02D01"/>
    <w:rsid w:val="00E05D5D"/>
    <w:rsid w:val="00E427B8"/>
    <w:rsid w:val="00E64D57"/>
    <w:rsid w:val="00EC3799"/>
    <w:rsid w:val="00EC49F4"/>
    <w:rsid w:val="00F04184"/>
    <w:rsid w:val="00F07C39"/>
    <w:rsid w:val="00F10424"/>
    <w:rsid w:val="00F10FA3"/>
    <w:rsid w:val="00F17F3E"/>
    <w:rsid w:val="00F2693F"/>
    <w:rsid w:val="00F331FE"/>
    <w:rsid w:val="00F33C07"/>
    <w:rsid w:val="00F74835"/>
    <w:rsid w:val="00FA7389"/>
    <w:rsid w:val="00FB0011"/>
    <w:rsid w:val="00FC351C"/>
    <w:rsid w:val="00FC3A14"/>
    <w:rsid w:val="00FD54F9"/>
    <w:rsid w:val="00FD6982"/>
    <w:rsid w:val="00FE376A"/>
    <w:rsid w:val="02502671"/>
    <w:rsid w:val="02B32C00"/>
    <w:rsid w:val="02E95776"/>
    <w:rsid w:val="05900FD6"/>
    <w:rsid w:val="06170F1E"/>
    <w:rsid w:val="066E509E"/>
    <w:rsid w:val="07707311"/>
    <w:rsid w:val="08A96637"/>
    <w:rsid w:val="08FA3336"/>
    <w:rsid w:val="0B3F14D4"/>
    <w:rsid w:val="0EE04D7C"/>
    <w:rsid w:val="0F7A0D2D"/>
    <w:rsid w:val="11E15093"/>
    <w:rsid w:val="133833D9"/>
    <w:rsid w:val="13B3480E"/>
    <w:rsid w:val="13EB044B"/>
    <w:rsid w:val="152F4368"/>
    <w:rsid w:val="15995C85"/>
    <w:rsid w:val="167E55A7"/>
    <w:rsid w:val="18616F2E"/>
    <w:rsid w:val="18F71640"/>
    <w:rsid w:val="1B723200"/>
    <w:rsid w:val="1C406E5A"/>
    <w:rsid w:val="1CC76D35"/>
    <w:rsid w:val="1D525A97"/>
    <w:rsid w:val="1FE3088A"/>
    <w:rsid w:val="20580C17"/>
    <w:rsid w:val="22145011"/>
    <w:rsid w:val="232F7706"/>
    <w:rsid w:val="23BE0FC7"/>
    <w:rsid w:val="24885842"/>
    <w:rsid w:val="25137802"/>
    <w:rsid w:val="254A36C0"/>
    <w:rsid w:val="25CC175F"/>
    <w:rsid w:val="268564DD"/>
    <w:rsid w:val="27C6290A"/>
    <w:rsid w:val="28235F68"/>
    <w:rsid w:val="28D14C84"/>
    <w:rsid w:val="28FE2577"/>
    <w:rsid w:val="2A522B7B"/>
    <w:rsid w:val="2D9E60D7"/>
    <w:rsid w:val="2E163EBF"/>
    <w:rsid w:val="2FB90FA6"/>
    <w:rsid w:val="30444929"/>
    <w:rsid w:val="305667F5"/>
    <w:rsid w:val="309F019C"/>
    <w:rsid w:val="3330332D"/>
    <w:rsid w:val="33997124"/>
    <w:rsid w:val="348B6F49"/>
    <w:rsid w:val="35B375BA"/>
    <w:rsid w:val="381476C1"/>
    <w:rsid w:val="38207DBA"/>
    <w:rsid w:val="3A7C154E"/>
    <w:rsid w:val="3BF03FA1"/>
    <w:rsid w:val="3C2C4182"/>
    <w:rsid w:val="3CBD2DBB"/>
    <w:rsid w:val="3CC605AD"/>
    <w:rsid w:val="3D65451B"/>
    <w:rsid w:val="3EA03A5D"/>
    <w:rsid w:val="41C060DD"/>
    <w:rsid w:val="41F36599"/>
    <w:rsid w:val="44531571"/>
    <w:rsid w:val="447251C8"/>
    <w:rsid w:val="44D73F50"/>
    <w:rsid w:val="450E3843"/>
    <w:rsid w:val="467A5823"/>
    <w:rsid w:val="47FB7F56"/>
    <w:rsid w:val="48082673"/>
    <w:rsid w:val="4B944949"/>
    <w:rsid w:val="4C6A56AA"/>
    <w:rsid w:val="4D27359B"/>
    <w:rsid w:val="4E1C6E78"/>
    <w:rsid w:val="4F253B0A"/>
    <w:rsid w:val="51090512"/>
    <w:rsid w:val="51826FF2"/>
    <w:rsid w:val="51DA6E2E"/>
    <w:rsid w:val="53656BCB"/>
    <w:rsid w:val="54FC70BB"/>
    <w:rsid w:val="552C79A0"/>
    <w:rsid w:val="555962BC"/>
    <w:rsid w:val="570E07A3"/>
    <w:rsid w:val="577675F9"/>
    <w:rsid w:val="58136BF6"/>
    <w:rsid w:val="5A134FAF"/>
    <w:rsid w:val="5B871DD5"/>
    <w:rsid w:val="5C380D48"/>
    <w:rsid w:val="5D264C1C"/>
    <w:rsid w:val="5D3E4715"/>
    <w:rsid w:val="60EF5D26"/>
    <w:rsid w:val="62364E44"/>
    <w:rsid w:val="62F67840"/>
    <w:rsid w:val="649E1F3D"/>
    <w:rsid w:val="64EA0CC3"/>
    <w:rsid w:val="657F6514"/>
    <w:rsid w:val="65907AD8"/>
    <w:rsid w:val="66770C98"/>
    <w:rsid w:val="66A650D9"/>
    <w:rsid w:val="67915D89"/>
    <w:rsid w:val="69390486"/>
    <w:rsid w:val="6A0B1E23"/>
    <w:rsid w:val="6A23552C"/>
    <w:rsid w:val="6AC64860"/>
    <w:rsid w:val="6AFE1987"/>
    <w:rsid w:val="6B99343A"/>
    <w:rsid w:val="6BE566A3"/>
    <w:rsid w:val="6DA46816"/>
    <w:rsid w:val="6F7D7F37"/>
    <w:rsid w:val="6F997ED1"/>
    <w:rsid w:val="6FEF189F"/>
    <w:rsid w:val="705362D1"/>
    <w:rsid w:val="71105F71"/>
    <w:rsid w:val="72A11576"/>
    <w:rsid w:val="72D37256"/>
    <w:rsid w:val="72E92126"/>
    <w:rsid w:val="7419513C"/>
    <w:rsid w:val="75E83018"/>
    <w:rsid w:val="767D5E56"/>
    <w:rsid w:val="78762B5D"/>
    <w:rsid w:val="78833246"/>
    <w:rsid w:val="7997722F"/>
    <w:rsid w:val="7AB015BF"/>
    <w:rsid w:val="7B2745E3"/>
    <w:rsid w:val="7B4C229B"/>
    <w:rsid w:val="7C037F26"/>
    <w:rsid w:val="7C1F350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8"/>
    <w:semiHidden/>
    <w:unhideWhenUsed/>
    <w:qFormat/>
    <w:uiPriority w:val="99"/>
    <w:pPr>
      <w:jc w:val="left"/>
    </w:pPr>
  </w:style>
  <w:style w:type="paragraph" w:styleId="3">
    <w:name w:val="Balloon Text"/>
    <w:basedOn w:val="1"/>
    <w:link w:val="17"/>
    <w:semiHidden/>
    <w:unhideWhenUsed/>
    <w:qFormat/>
    <w:uiPriority w:val="99"/>
    <w:rPr>
      <w:sz w:val="18"/>
      <w:szCs w:val="18"/>
    </w:rPr>
  </w:style>
  <w:style w:type="paragraph" w:styleId="4">
    <w:name w:val="footer"/>
    <w:basedOn w:val="1"/>
    <w:link w:val="15"/>
    <w:unhideWhenUsed/>
    <w:qFormat/>
    <w:uiPriority w:val="99"/>
    <w:pPr>
      <w:tabs>
        <w:tab w:val="center" w:pos="4153"/>
        <w:tab w:val="right" w:pos="8306"/>
      </w:tabs>
      <w:snapToGrid w:val="0"/>
      <w:jc w:val="left"/>
    </w:pPr>
    <w:rPr>
      <w:sz w:val="18"/>
      <w:szCs w:val="18"/>
    </w:rPr>
  </w:style>
  <w:style w:type="paragraph" w:styleId="5">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7">
    <w:name w:val="annotation subject"/>
    <w:basedOn w:val="2"/>
    <w:next w:val="2"/>
    <w:link w:val="19"/>
    <w:semiHidden/>
    <w:unhideWhenUsed/>
    <w:qFormat/>
    <w:uiPriority w:val="99"/>
    <w:rPr>
      <w:b/>
      <w:bCs/>
    </w:rPr>
  </w:style>
  <w:style w:type="table" w:styleId="9">
    <w:name w:val="Table Grid"/>
    <w:basedOn w:val="8"/>
    <w:qFormat/>
    <w:uiPriority w:val="59"/>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Strong"/>
    <w:basedOn w:val="10"/>
    <w:qFormat/>
    <w:uiPriority w:val="22"/>
    <w:rPr>
      <w:b/>
      <w:bCs/>
    </w:rPr>
  </w:style>
  <w:style w:type="character" w:styleId="12">
    <w:name w:val="annotation reference"/>
    <w:basedOn w:val="10"/>
    <w:semiHidden/>
    <w:unhideWhenUsed/>
    <w:qFormat/>
    <w:uiPriority w:val="99"/>
    <w:rPr>
      <w:sz w:val="21"/>
      <w:szCs w:val="21"/>
    </w:rPr>
  </w:style>
  <w:style w:type="paragraph" w:customStyle="1" w:styleId="13">
    <w:name w:val="论文正文"/>
    <w:basedOn w:val="1"/>
    <w:qFormat/>
    <w:uiPriority w:val="0"/>
    <w:pPr>
      <w:autoSpaceDE w:val="0"/>
      <w:autoSpaceDN w:val="0"/>
      <w:spacing w:line="360" w:lineRule="auto"/>
      <w:ind w:firstLine="420" w:firstLineChars="200"/>
    </w:pPr>
    <w:rPr>
      <w:rFonts w:ascii="Times New Roman" w:hAnsi="Times New Roman" w:eastAsia="宋体" w:cs="仿宋"/>
      <w:kern w:val="0"/>
      <w:sz w:val="24"/>
      <w:lang w:eastAsia="en-US" w:bidi="en-US"/>
    </w:rPr>
  </w:style>
  <w:style w:type="character" w:customStyle="1" w:styleId="14">
    <w:name w:val="页眉 Char"/>
    <w:basedOn w:val="10"/>
    <w:link w:val="5"/>
    <w:qFormat/>
    <w:uiPriority w:val="99"/>
    <w:rPr>
      <w:sz w:val="18"/>
      <w:szCs w:val="18"/>
    </w:rPr>
  </w:style>
  <w:style w:type="character" w:customStyle="1" w:styleId="15">
    <w:name w:val="页脚 Char"/>
    <w:basedOn w:val="10"/>
    <w:link w:val="4"/>
    <w:qFormat/>
    <w:uiPriority w:val="99"/>
    <w:rPr>
      <w:sz w:val="18"/>
      <w:szCs w:val="18"/>
    </w:rPr>
  </w:style>
  <w:style w:type="paragraph" w:styleId="16">
    <w:name w:val="List Paragraph"/>
    <w:basedOn w:val="1"/>
    <w:qFormat/>
    <w:uiPriority w:val="34"/>
    <w:pPr>
      <w:ind w:firstLine="420" w:firstLineChars="200"/>
    </w:pPr>
  </w:style>
  <w:style w:type="character" w:customStyle="1" w:styleId="17">
    <w:name w:val="批注框文本 Char"/>
    <w:basedOn w:val="10"/>
    <w:link w:val="3"/>
    <w:semiHidden/>
    <w:qFormat/>
    <w:uiPriority w:val="99"/>
    <w:rPr>
      <w:sz w:val="18"/>
      <w:szCs w:val="18"/>
    </w:rPr>
  </w:style>
  <w:style w:type="character" w:customStyle="1" w:styleId="18">
    <w:name w:val="批注文字 Char"/>
    <w:basedOn w:val="10"/>
    <w:link w:val="2"/>
    <w:semiHidden/>
    <w:qFormat/>
    <w:uiPriority w:val="99"/>
    <w:rPr>
      <w:kern w:val="2"/>
      <w:sz w:val="21"/>
      <w:szCs w:val="22"/>
    </w:rPr>
  </w:style>
  <w:style w:type="character" w:customStyle="1" w:styleId="19">
    <w:name w:val="批注主题 Char"/>
    <w:basedOn w:val="18"/>
    <w:link w:val="7"/>
    <w:semiHidden/>
    <w:qFormat/>
    <w:uiPriority w:val="99"/>
    <w:rPr>
      <w:b/>
      <w:bCs/>
      <w:kern w:val="2"/>
      <w:sz w:val="21"/>
      <w:szCs w:val="22"/>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微软中国</Company>
  <Pages>5</Pages>
  <Words>2714</Words>
  <Characters>2788</Characters>
  <Lines>20</Lines>
  <Paragraphs>5</Paragraphs>
  <TotalTime>111</TotalTime>
  <ScaleCrop>false</ScaleCrop>
  <LinksUpToDate>false</LinksUpToDate>
  <CharactersWithSpaces>2810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2022-05-13T12:57:00Z</dcterms:created>
  <dc:creator>admin</dc:creator>
  <cp:lastModifiedBy>岸</cp:lastModifiedBy>
  <dcterms:modified xsi:type="dcterms:W3CDTF">2026-04-27T05:25:53Z</dcterms:modified>
  <cp:revision>167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8070C80E5336415BB4B50D634F8A0D6D_13</vt:lpwstr>
  </property>
  <property fmtid="{D5CDD505-2E9C-101B-9397-08002B2CF9AE}" pid="4" name="KSOTemplateDocerSaveRecord">
    <vt:lpwstr>eyJoZGlkIjoiYjMwNmU2MWIyN2NiYzE5YzU4ODFmYTdjODliZDVhOGMiLCJ1c2VySWQiOiI1NTM3ODc4NjkifQ==</vt:lpwstr>
  </property>
</Properties>
</file>