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2C305">
      <w:pPr>
        <w:spacing w:line="360" w:lineRule="auto"/>
        <w:jc w:val="center"/>
        <w:rPr>
          <w:rFonts w:ascii="方正小标宋简体" w:hAnsi="宋体" w:eastAsia="方正小标宋简体"/>
          <w:sz w:val="32"/>
          <w:szCs w:val="32"/>
        </w:rPr>
      </w:pPr>
      <w:bookmarkStart w:id="4" w:name="_GoBack"/>
      <w:bookmarkEnd w:id="4"/>
      <w:bookmarkStart w:id="0" w:name="OLE_LINK1"/>
      <w:r>
        <w:rPr>
          <w:rFonts w:hint="eastAsia" w:ascii="方正小标宋简体" w:hAnsi="宋体" w:eastAsia="方正小标宋简体"/>
          <w:sz w:val="32"/>
          <w:szCs w:val="32"/>
        </w:rPr>
        <w:t>“刑事检察与犯罪治理实务”微专业</w:t>
      </w:r>
      <w:bookmarkEnd w:id="0"/>
      <w:r>
        <w:rPr>
          <w:rFonts w:hint="eastAsia" w:ascii="方正小标宋简体" w:hAnsi="宋体" w:eastAsia="方正小标宋简体" w:cs="宋体"/>
          <w:sz w:val="32"/>
          <w:szCs w:val="32"/>
        </w:rPr>
        <w:t>招生简章</w:t>
      </w:r>
    </w:p>
    <w:p w14:paraId="6A2305F6">
      <w:pPr>
        <w:spacing w:line="360" w:lineRule="auto"/>
        <w:ind w:firstLine="480" w:firstLineChars="200"/>
        <w:rPr>
          <w:rFonts w:hint="eastAsia" w:ascii="黑体" w:hAnsi="黑体" w:eastAsia="黑体"/>
          <w:bCs/>
          <w:sz w:val="24"/>
        </w:rPr>
      </w:pPr>
    </w:p>
    <w:p w14:paraId="60BEC2D3">
      <w:pPr>
        <w:spacing w:line="360" w:lineRule="auto"/>
        <w:ind w:firstLine="480" w:firstLineChars="200"/>
        <w:rPr>
          <w:rFonts w:hint="eastAsia" w:ascii="黑体" w:hAnsi="黑体" w:eastAsia="黑体"/>
          <w:bCs/>
          <w:sz w:val="24"/>
        </w:rPr>
      </w:pPr>
      <w:r>
        <w:rPr>
          <w:rFonts w:hint="eastAsia" w:ascii="黑体" w:hAnsi="黑体" w:eastAsia="黑体"/>
          <w:bCs/>
          <w:sz w:val="24"/>
        </w:rPr>
        <w:t>一、专业简介</w:t>
      </w:r>
    </w:p>
    <w:p w14:paraId="480897E4">
      <w:pPr>
        <w:spacing w:line="360" w:lineRule="auto"/>
        <w:ind w:firstLine="482" w:firstLineChars="200"/>
        <w:rPr>
          <w:rFonts w:hint="eastAsia" w:ascii="宋体" w:hAnsi="宋体"/>
          <w:bCs/>
          <w:sz w:val="24"/>
        </w:rPr>
      </w:pPr>
      <w:r>
        <w:rPr>
          <w:rFonts w:hint="eastAsia" w:ascii="宋体" w:hAnsi="宋体"/>
          <w:b/>
          <w:sz w:val="24"/>
        </w:rPr>
        <w:t>“刑事检察与犯罪治理实务”</w:t>
      </w:r>
      <w:r>
        <w:rPr>
          <w:rFonts w:hint="eastAsia" w:ascii="宋体" w:hAnsi="宋体"/>
          <w:bCs/>
          <w:sz w:val="24"/>
        </w:rPr>
        <w:t>微专业旨在深度融合犯罪学理论与刑事检察实践，培养具备犯罪学实证分析能力与刑事检察核心技能的复合型应用人才。刑事检察是检察机关最传统、最基本的业务，也是其法律监督职能的核心体现。本专业将系统讲授刑事检察的基础理论与前沿实务，涵盖审查逮捕、审查起诉、出庭支持公诉、刑事诉讼监督等核心职责，并特别注重引导学生运用犯罪学的理论与方法，分析犯罪现象、评估犯罪风险、参与社会治理。</w:t>
      </w:r>
    </w:p>
    <w:p w14:paraId="5571C58A">
      <w:pPr>
        <w:spacing w:line="360" w:lineRule="auto"/>
        <w:ind w:firstLine="480" w:firstLineChars="200"/>
        <w:rPr>
          <w:rFonts w:hint="eastAsia" w:ascii="宋体" w:hAnsi="宋体"/>
          <w:bCs/>
          <w:sz w:val="24"/>
        </w:rPr>
      </w:pPr>
      <w:r>
        <w:rPr>
          <w:rFonts w:hint="eastAsia" w:ascii="宋体" w:hAnsi="宋体"/>
          <w:bCs/>
          <w:sz w:val="24"/>
        </w:rPr>
        <w:t>课程体系紧密对接检察实务需求，不仅包括检察实务类的基础课程，更通过检校师资的联合讲授，使学生深入理解刑事检察的职能定位与工作原则。通过引入真实案例与模拟实训，本专业着重培养学生证据审查、法律文书写作、出庭辩论以及通过检察建议参与社会治理等关键能力。</w:t>
      </w:r>
    </w:p>
    <w:p w14:paraId="5132069E">
      <w:pPr>
        <w:spacing w:line="360" w:lineRule="auto"/>
        <w:ind w:firstLine="480" w:firstLineChars="200"/>
        <w:rPr>
          <w:rFonts w:hint="eastAsia" w:ascii="黑体" w:hAnsi="黑体" w:eastAsia="黑体"/>
          <w:bCs/>
          <w:sz w:val="24"/>
        </w:rPr>
      </w:pPr>
      <w:r>
        <w:rPr>
          <w:rFonts w:hint="eastAsia" w:ascii="黑体" w:hAnsi="黑体" w:eastAsia="黑体"/>
          <w:bCs/>
          <w:sz w:val="24"/>
        </w:rPr>
        <w:t>二、培养目标</w:t>
      </w:r>
    </w:p>
    <w:p w14:paraId="39E90A8A">
      <w:pPr>
        <w:spacing w:line="360" w:lineRule="auto"/>
        <w:ind w:firstLine="480" w:firstLineChars="200"/>
        <w:rPr>
          <w:rFonts w:hint="eastAsia" w:ascii="宋体" w:hAnsi="宋体"/>
          <w:bCs/>
          <w:sz w:val="24"/>
        </w:rPr>
      </w:pPr>
      <w:r>
        <w:rPr>
          <w:rFonts w:hint="eastAsia" w:ascii="宋体" w:hAnsi="宋体"/>
          <w:bCs/>
          <w:sz w:val="24"/>
        </w:rPr>
        <w:t>该微专业旨在深度融合犯罪学理论与刑事检察实践，培养具备犯罪学实证分析能力与刑事检察核心技能的复合型应用人才。其培养目标具体体现在以下几个方面：</w:t>
      </w:r>
    </w:p>
    <w:p w14:paraId="6C706905">
      <w:pPr>
        <w:spacing w:line="360" w:lineRule="auto"/>
        <w:ind w:firstLine="482" w:firstLineChars="200"/>
        <w:rPr>
          <w:rFonts w:hint="eastAsia" w:ascii="宋体" w:hAnsi="宋体"/>
          <w:bCs/>
          <w:sz w:val="24"/>
        </w:rPr>
      </w:pPr>
      <w:r>
        <w:rPr>
          <w:rFonts w:hint="eastAsia" w:ascii="宋体" w:hAnsi="宋体"/>
          <w:b/>
          <w:sz w:val="24"/>
        </w:rPr>
        <w:t>培养具备刑事检察核心职业能力的专业人才：</w:t>
      </w:r>
      <w:r>
        <w:rPr>
          <w:rFonts w:hint="eastAsia" w:ascii="宋体" w:hAnsi="宋体"/>
          <w:bCs/>
          <w:sz w:val="24"/>
        </w:rPr>
        <w:t>该专业致力于使学生掌握扎实的刑事法律理论基础和宽广的刑事检察实务知识，形成卓越法律职业人才所必需的核心职业能力。这包括法律职业通常应具备的口头表达、调研写作、协调管理能力，以及刑事检察工作实践所特别要求的法律诠释、法律推理、法律论证与法律事实探知能力。毕业生应能熟练掌握刑事检察业务内容，具备较强的刑事检察实务操作能力，有效解决各类刑事法实务问题。</w:t>
      </w:r>
    </w:p>
    <w:p w14:paraId="3EEE1ADA">
      <w:pPr>
        <w:spacing w:line="360" w:lineRule="auto"/>
        <w:ind w:firstLine="482" w:firstLineChars="200"/>
        <w:rPr>
          <w:rFonts w:hint="eastAsia" w:ascii="宋体" w:hAnsi="宋体"/>
          <w:bCs/>
          <w:sz w:val="24"/>
        </w:rPr>
      </w:pPr>
      <w:r>
        <w:rPr>
          <w:rFonts w:hint="eastAsia" w:ascii="宋体" w:hAnsi="宋体"/>
          <w:b/>
          <w:sz w:val="24"/>
        </w:rPr>
        <w:t>构建“刑事一体化”的知识结构与思维模式：</w:t>
      </w:r>
      <w:r>
        <w:rPr>
          <w:rFonts w:hint="eastAsia" w:ascii="宋体" w:hAnsi="宋体"/>
          <w:bCs/>
          <w:sz w:val="24"/>
        </w:rPr>
        <w:t>该专业以刑法学和刑事诉讼法学为牵头学科，并整合犯罪学、刑事政策学、侦查学等协同学科的优势力量。其目标是打破学科壁垒，融刑事实体法、刑事程序法及证据的收集与运用为一体，培养学生从犯罪原因、犯罪预防和刑事政策的角度，深度理解并辅助开展审查逮捕、审查起诉、诉讼监督等检察业务的综合能力，这正是“刑事一体化”理念在人才培养中的具体实践。</w:t>
      </w:r>
    </w:p>
    <w:p w14:paraId="781E09F3">
      <w:pPr>
        <w:spacing w:line="360" w:lineRule="auto"/>
        <w:ind w:firstLine="482" w:firstLineChars="200"/>
        <w:rPr>
          <w:rFonts w:hint="eastAsia" w:ascii="宋体" w:hAnsi="宋体"/>
          <w:bCs/>
          <w:sz w:val="24"/>
        </w:rPr>
      </w:pPr>
      <w:r>
        <w:rPr>
          <w:rFonts w:hint="eastAsia" w:ascii="宋体" w:hAnsi="宋体"/>
          <w:b/>
          <w:sz w:val="24"/>
        </w:rPr>
        <w:t>强化实践导向与解决实际问题的能力：</w:t>
      </w:r>
      <w:r>
        <w:rPr>
          <w:rFonts w:hint="eastAsia" w:ascii="宋体" w:hAnsi="宋体"/>
          <w:bCs/>
          <w:sz w:val="24"/>
        </w:rPr>
        <w:t>该专业紧扣法律实务的现实需求，突出刑事检察在法律实务工作中的重要地位。通过与检察院等法律实务部门建立合作办学机制，如建立实务基地、聘请实务导师（实行双导师制）、开展集中专业实习等方式，让学生在法律实践中提升职业技能。课程设置注重实战性，通过案例分析、模拟演练等方式，提升学生解决实际问题的能力，确保所学能够直接应用于高质效办理案件、参与社会治理等检察工作实际。</w:t>
      </w:r>
    </w:p>
    <w:p w14:paraId="54E87AEE">
      <w:pPr>
        <w:spacing w:line="360" w:lineRule="auto"/>
        <w:ind w:firstLine="482" w:firstLineChars="200"/>
        <w:rPr>
          <w:rFonts w:hint="eastAsia" w:ascii="宋体" w:hAnsi="宋体"/>
          <w:bCs/>
          <w:sz w:val="24"/>
        </w:rPr>
      </w:pPr>
      <w:r>
        <w:rPr>
          <w:rFonts w:hint="eastAsia" w:ascii="宋体" w:hAnsi="宋体"/>
          <w:b/>
          <w:sz w:val="24"/>
        </w:rPr>
        <w:t>对接法学职业需求，输送高素质法治人才：</w:t>
      </w:r>
      <w:r>
        <w:rPr>
          <w:rFonts w:hint="eastAsia" w:ascii="宋体" w:hAnsi="宋体"/>
          <w:bCs/>
          <w:sz w:val="24"/>
        </w:rPr>
        <w:t>该专业的培养面向明确，主要为人民法院、人民检察院、公安机关等法律实务部门输送德才兼备、适应社会主义法治建设需要的高层次、复合型、应用型卓越法律职业人才。通过系统的理论教学与深度的检校合作实践，造就一批既精通刑事法律规范、又善于运用犯罪学思维分析犯罪现象与治理路径，且具备出色实务操作能力的政法后备人才，以服务于构建中国法学自主知识体系与推进犯罪治理现代化的时代需求。</w:t>
      </w:r>
    </w:p>
    <w:p w14:paraId="48DF859D">
      <w:pPr>
        <w:spacing w:line="360" w:lineRule="auto"/>
        <w:ind w:firstLine="480" w:firstLineChars="200"/>
        <w:rPr>
          <w:rFonts w:ascii="黑体" w:hAnsi="黑体" w:eastAsia="黑体"/>
          <w:bCs/>
          <w:sz w:val="24"/>
        </w:rPr>
      </w:pPr>
      <w:r>
        <w:rPr>
          <w:rFonts w:hint="eastAsia" w:ascii="黑体" w:hAnsi="黑体" w:eastAsia="黑体"/>
          <w:bCs/>
          <w:sz w:val="24"/>
        </w:rPr>
        <w:t>三、招生对象、报名条件及招生规模</w:t>
      </w:r>
    </w:p>
    <w:p w14:paraId="428483E5">
      <w:pPr>
        <w:numPr>
          <w:ilvl w:val="0"/>
          <w:numId w:val="1"/>
        </w:numPr>
        <w:spacing w:line="360" w:lineRule="auto"/>
        <w:rPr>
          <w:rFonts w:ascii="宋体" w:hAnsi="宋体"/>
          <w:b/>
          <w:color w:val="4D4D4D"/>
          <w:sz w:val="24"/>
        </w:rPr>
      </w:pPr>
      <w:r>
        <w:rPr>
          <w:rFonts w:hint="eastAsia" w:ascii="宋体" w:hAnsi="宋体"/>
          <w:b/>
          <w:color w:val="4D4D4D"/>
          <w:sz w:val="24"/>
        </w:rPr>
        <w:t>招生对象</w:t>
      </w:r>
    </w:p>
    <w:p w14:paraId="2F2E3286">
      <w:pPr>
        <w:spacing w:line="360" w:lineRule="auto"/>
        <w:ind w:firstLine="480" w:firstLineChars="200"/>
        <w:rPr>
          <w:rFonts w:hint="eastAsia" w:ascii="宋体" w:hAnsi="宋体"/>
          <w:bCs/>
          <w:sz w:val="24"/>
        </w:rPr>
      </w:pPr>
      <w:r>
        <w:rPr>
          <w:rFonts w:hint="eastAsia" w:ascii="宋体" w:hAnsi="宋体"/>
          <w:bCs/>
          <w:sz w:val="24"/>
        </w:rPr>
        <w:t>本微专业面向上海政法学院2024级和2025级全日制本科生招生。</w:t>
      </w:r>
    </w:p>
    <w:p w14:paraId="3CB91364">
      <w:pPr>
        <w:numPr>
          <w:ilvl w:val="0"/>
          <w:numId w:val="1"/>
        </w:numPr>
        <w:spacing w:line="360" w:lineRule="auto"/>
        <w:rPr>
          <w:rFonts w:ascii="宋体" w:hAnsi="宋体"/>
          <w:b/>
          <w:color w:val="4D4D4D"/>
          <w:sz w:val="24"/>
        </w:rPr>
      </w:pPr>
      <w:r>
        <w:rPr>
          <w:rFonts w:hint="eastAsia" w:ascii="宋体" w:hAnsi="宋体"/>
          <w:b/>
          <w:color w:val="4D4D4D"/>
          <w:sz w:val="24"/>
        </w:rPr>
        <w:t>报名条件</w:t>
      </w:r>
    </w:p>
    <w:p w14:paraId="612CC898">
      <w:pPr>
        <w:spacing w:line="360" w:lineRule="auto"/>
        <w:ind w:left="482"/>
        <w:rPr>
          <w:rFonts w:ascii="宋体" w:hAnsi="宋体"/>
          <w:b/>
          <w:color w:val="4D4D4D"/>
          <w:sz w:val="24"/>
        </w:rPr>
      </w:pPr>
      <w:r>
        <w:rPr>
          <w:rFonts w:hint="eastAsia" w:ascii="宋体" w:hAnsi="宋体"/>
          <w:b/>
          <w:color w:val="4D4D4D"/>
          <w:sz w:val="24"/>
        </w:rPr>
        <w:t>1</w:t>
      </w:r>
      <w:r>
        <w:rPr>
          <w:rFonts w:hint="eastAsia" w:ascii="宋体" w:hAnsi="宋体"/>
          <w:b/>
          <w:sz w:val="24"/>
        </w:rPr>
        <w:t>.</w:t>
      </w:r>
      <w:r>
        <w:rPr>
          <w:rFonts w:hint="eastAsia" w:ascii="宋体" w:hAnsi="宋体"/>
          <w:b/>
          <w:color w:val="4D4D4D"/>
          <w:sz w:val="24"/>
        </w:rPr>
        <w:t>招生条件</w:t>
      </w:r>
    </w:p>
    <w:p w14:paraId="28A5960E">
      <w:pPr>
        <w:spacing w:line="360" w:lineRule="auto"/>
        <w:ind w:firstLine="480" w:firstLineChars="200"/>
        <w:rPr>
          <w:rFonts w:hint="eastAsia" w:ascii="宋体" w:hAnsi="宋体"/>
          <w:bCs/>
          <w:sz w:val="24"/>
        </w:rPr>
      </w:pPr>
      <w:r>
        <w:rPr>
          <w:rFonts w:hint="eastAsia" w:ascii="宋体" w:hAnsi="宋体"/>
          <w:bCs/>
          <w:sz w:val="24"/>
        </w:rPr>
        <w:t>（1）对法律原理或法律实践有一定的了解或兴趣。</w:t>
      </w:r>
    </w:p>
    <w:p w14:paraId="7AA7DD3A">
      <w:pPr>
        <w:spacing w:line="360" w:lineRule="auto"/>
        <w:ind w:firstLine="480" w:firstLineChars="200"/>
        <w:rPr>
          <w:rFonts w:ascii="宋体" w:hAnsi="宋体"/>
          <w:bCs/>
          <w:sz w:val="24"/>
        </w:rPr>
      </w:pPr>
      <w:r>
        <w:rPr>
          <w:rFonts w:hint="eastAsia" w:ascii="宋体" w:hAnsi="宋体"/>
          <w:bCs/>
          <w:sz w:val="24"/>
        </w:rPr>
        <w:t>（2）学有余力，在校期间主修专业课程全部合格。</w:t>
      </w:r>
    </w:p>
    <w:p w14:paraId="29BAEDD0">
      <w:pPr>
        <w:spacing w:line="360" w:lineRule="auto"/>
        <w:ind w:firstLine="480" w:firstLineChars="200"/>
        <w:rPr>
          <w:rFonts w:hint="eastAsia" w:ascii="宋体" w:hAnsi="宋体"/>
          <w:bCs/>
          <w:sz w:val="24"/>
        </w:rPr>
      </w:pPr>
      <w:r>
        <w:rPr>
          <w:rFonts w:hint="eastAsia" w:ascii="宋体" w:hAnsi="宋体"/>
          <w:bCs/>
          <w:sz w:val="24"/>
        </w:rPr>
        <w:t>（3）能够独立思考，具有较强的学习能力和团队合作精神。</w:t>
      </w:r>
    </w:p>
    <w:p w14:paraId="72CFFAEC">
      <w:pPr>
        <w:spacing w:line="360" w:lineRule="auto"/>
        <w:ind w:firstLine="480" w:firstLineChars="200"/>
        <w:rPr>
          <w:rFonts w:ascii="宋体" w:hAnsi="宋体"/>
          <w:bCs/>
          <w:sz w:val="24"/>
        </w:rPr>
      </w:pPr>
      <w:r>
        <w:rPr>
          <w:rFonts w:hint="eastAsia" w:ascii="宋体" w:hAnsi="宋体"/>
          <w:bCs/>
          <w:sz w:val="24"/>
        </w:rPr>
        <w:t>（4）遵守学校规章制度，在校期间无考试违纪或学术不端行为记录。</w:t>
      </w:r>
    </w:p>
    <w:p w14:paraId="727ECB75">
      <w:pPr>
        <w:spacing w:line="360" w:lineRule="auto"/>
        <w:ind w:firstLine="482" w:firstLineChars="200"/>
        <w:rPr>
          <w:rFonts w:hint="eastAsia" w:ascii="宋体" w:hAnsi="宋体"/>
          <w:b/>
          <w:color w:val="4D4D4D"/>
          <w:sz w:val="24"/>
        </w:rPr>
      </w:pPr>
      <w:r>
        <w:rPr>
          <w:rFonts w:ascii="宋体" w:hAnsi="宋体"/>
          <w:b/>
          <w:color w:val="4D4D4D"/>
          <w:sz w:val="24"/>
        </w:rPr>
        <w:t>2</w:t>
      </w:r>
      <w:r>
        <w:rPr>
          <w:rFonts w:hint="eastAsia" w:ascii="宋体" w:hAnsi="宋体"/>
          <w:b/>
          <w:sz w:val="24"/>
        </w:rPr>
        <w:t>.</w:t>
      </w:r>
      <w:r>
        <w:rPr>
          <w:rFonts w:ascii="宋体" w:hAnsi="宋体"/>
          <w:b/>
          <w:color w:val="4D4D4D"/>
          <w:sz w:val="24"/>
        </w:rPr>
        <w:t>前置课程</w:t>
      </w:r>
    </w:p>
    <w:p w14:paraId="311E7459">
      <w:pPr>
        <w:spacing w:line="360" w:lineRule="auto"/>
        <w:ind w:firstLine="480" w:firstLineChars="200"/>
        <w:rPr>
          <w:rFonts w:hint="eastAsia" w:ascii="宋体" w:hAnsi="宋体"/>
          <w:bCs/>
          <w:sz w:val="24"/>
        </w:rPr>
      </w:pPr>
      <w:r>
        <w:rPr>
          <w:rFonts w:hint="eastAsia" w:ascii="宋体" w:hAnsi="宋体"/>
          <w:sz w:val="24"/>
        </w:rPr>
        <w:t>为了确保学生能够顺利学习本微专业的核心内容，建议学生在报名前完成</w:t>
      </w:r>
      <w:r>
        <w:rPr>
          <w:rFonts w:hint="eastAsia" w:ascii="宋体" w:hAnsi="宋体"/>
          <w:bCs/>
          <w:sz w:val="24"/>
        </w:rPr>
        <w:t>刑法、刑事诉讼法等1-2门法学基础课程的学习。</w:t>
      </w:r>
    </w:p>
    <w:p w14:paraId="6CED2E96">
      <w:pPr>
        <w:numPr>
          <w:ilvl w:val="0"/>
          <w:numId w:val="1"/>
        </w:numPr>
        <w:spacing w:line="360" w:lineRule="auto"/>
        <w:rPr>
          <w:rFonts w:hint="eastAsia" w:ascii="宋体" w:hAnsi="宋体"/>
          <w:b/>
          <w:color w:val="4D4D4D"/>
          <w:sz w:val="24"/>
        </w:rPr>
      </w:pPr>
      <w:r>
        <w:rPr>
          <w:rFonts w:hint="eastAsia" w:ascii="宋体" w:hAnsi="宋体"/>
          <w:b/>
          <w:color w:val="4D4D4D"/>
          <w:sz w:val="24"/>
        </w:rPr>
        <w:t>招生规模</w:t>
      </w:r>
    </w:p>
    <w:p w14:paraId="0C8EE6E0">
      <w:pPr>
        <w:spacing w:line="360" w:lineRule="auto"/>
        <w:ind w:firstLine="480" w:firstLineChars="200"/>
        <w:rPr>
          <w:rFonts w:hint="eastAsia" w:ascii="宋体" w:hAnsi="宋体"/>
          <w:sz w:val="24"/>
        </w:rPr>
      </w:pPr>
      <w:r>
        <w:rPr>
          <w:rFonts w:hint="eastAsia" w:ascii="宋体" w:hAnsi="宋体"/>
          <w:sz w:val="24"/>
        </w:rPr>
        <w:t>本微专业本次招生人数为20名,若招生人数低于15人，原则上不予开班教学。若报名人数超过限额，将会择优录取。</w:t>
      </w:r>
    </w:p>
    <w:p w14:paraId="2AA21450">
      <w:pPr>
        <w:spacing w:line="360" w:lineRule="auto"/>
        <w:ind w:firstLine="480" w:firstLineChars="200"/>
        <w:rPr>
          <w:rFonts w:hint="eastAsia" w:ascii="宋体" w:hAnsi="宋体"/>
          <w:bCs/>
          <w:sz w:val="24"/>
        </w:rPr>
      </w:pPr>
      <w:r>
        <w:rPr>
          <w:rFonts w:hint="eastAsia" w:ascii="黑体" w:hAnsi="黑体" w:eastAsia="黑体"/>
          <w:bCs/>
          <w:sz w:val="24"/>
        </w:rPr>
        <w:t>四、课程设置</w:t>
      </w:r>
    </w:p>
    <w:p w14:paraId="1CC88A30">
      <w:pPr>
        <w:spacing w:after="156" w:afterLines="50" w:line="400" w:lineRule="exact"/>
        <w:ind w:left="480"/>
        <w:jc w:val="center"/>
        <w:rPr>
          <w:rFonts w:hint="eastAsia" w:ascii="黑体" w:eastAsia="黑体"/>
          <w:bCs/>
          <w:sz w:val="24"/>
        </w:rPr>
      </w:pPr>
    </w:p>
    <w:p w14:paraId="0CFF9D31">
      <w:pPr>
        <w:spacing w:after="156" w:afterLines="50" w:line="400" w:lineRule="exact"/>
        <w:ind w:left="480"/>
        <w:jc w:val="center"/>
        <w:rPr>
          <w:rFonts w:ascii="黑体" w:eastAsia="黑体"/>
          <w:bCs/>
          <w:sz w:val="24"/>
        </w:rPr>
      </w:pPr>
      <w:r>
        <w:rPr>
          <w:rFonts w:hint="eastAsia" w:ascii="黑体" w:eastAsia="黑体"/>
          <w:bCs/>
          <w:sz w:val="24"/>
        </w:rPr>
        <w:t>刑事检察与犯罪治理实务微专业课程设置及教学进程计划表</w:t>
      </w:r>
    </w:p>
    <w:tbl>
      <w:tblPr>
        <w:tblStyle w:val="6"/>
        <w:tblW w:w="8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52"/>
        <w:gridCol w:w="3093"/>
        <w:gridCol w:w="848"/>
        <w:gridCol w:w="990"/>
        <w:gridCol w:w="2419"/>
      </w:tblGrid>
      <w:tr w14:paraId="45DB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2" w:hRule="atLeast"/>
          <w:jc w:val="center"/>
        </w:trPr>
        <w:tc>
          <w:tcPr>
            <w:tcW w:w="852" w:type="dxa"/>
            <w:noWrap w:val="0"/>
            <w:vAlign w:val="center"/>
          </w:tcPr>
          <w:p w14:paraId="2F82A592">
            <w:pPr>
              <w:spacing w:line="288" w:lineRule="auto"/>
              <w:jc w:val="center"/>
              <w:rPr>
                <w:b/>
                <w:bCs/>
                <w:kern w:val="0"/>
                <w:sz w:val="20"/>
                <w:szCs w:val="20"/>
              </w:rPr>
            </w:pPr>
            <w:r>
              <w:rPr>
                <w:b/>
                <w:bCs/>
                <w:kern w:val="0"/>
                <w:sz w:val="20"/>
                <w:szCs w:val="20"/>
              </w:rPr>
              <w:t>序号</w:t>
            </w:r>
          </w:p>
        </w:tc>
        <w:tc>
          <w:tcPr>
            <w:tcW w:w="3093" w:type="dxa"/>
            <w:noWrap w:val="0"/>
            <w:vAlign w:val="center"/>
          </w:tcPr>
          <w:p w14:paraId="09230CC6">
            <w:pPr>
              <w:spacing w:line="288" w:lineRule="auto"/>
              <w:jc w:val="center"/>
              <w:rPr>
                <w:b/>
                <w:bCs/>
                <w:kern w:val="0"/>
                <w:sz w:val="20"/>
                <w:szCs w:val="20"/>
              </w:rPr>
            </w:pPr>
            <w:r>
              <w:rPr>
                <w:b/>
                <w:bCs/>
                <w:kern w:val="0"/>
                <w:sz w:val="20"/>
                <w:szCs w:val="20"/>
              </w:rPr>
              <w:t>课程名称</w:t>
            </w:r>
          </w:p>
        </w:tc>
        <w:tc>
          <w:tcPr>
            <w:tcW w:w="848" w:type="dxa"/>
            <w:noWrap w:val="0"/>
            <w:vAlign w:val="center"/>
          </w:tcPr>
          <w:p w14:paraId="31BA6F16">
            <w:pPr>
              <w:spacing w:line="288" w:lineRule="auto"/>
              <w:jc w:val="center"/>
              <w:rPr>
                <w:b/>
                <w:bCs/>
                <w:kern w:val="0"/>
                <w:sz w:val="20"/>
                <w:szCs w:val="20"/>
              </w:rPr>
            </w:pPr>
            <w:r>
              <w:rPr>
                <w:b/>
                <w:bCs/>
                <w:kern w:val="0"/>
                <w:sz w:val="20"/>
                <w:szCs w:val="20"/>
              </w:rPr>
              <w:t>学分</w:t>
            </w:r>
          </w:p>
        </w:tc>
        <w:tc>
          <w:tcPr>
            <w:tcW w:w="990" w:type="dxa"/>
            <w:noWrap w:val="0"/>
            <w:vAlign w:val="center"/>
          </w:tcPr>
          <w:p w14:paraId="2E247B74">
            <w:pPr>
              <w:spacing w:line="288" w:lineRule="auto"/>
              <w:jc w:val="center"/>
              <w:rPr>
                <w:b/>
                <w:bCs/>
                <w:kern w:val="0"/>
                <w:sz w:val="20"/>
                <w:szCs w:val="20"/>
              </w:rPr>
            </w:pPr>
            <w:r>
              <w:rPr>
                <w:b/>
                <w:bCs/>
                <w:kern w:val="0"/>
                <w:sz w:val="20"/>
                <w:szCs w:val="20"/>
              </w:rPr>
              <w:t>总学时</w:t>
            </w:r>
          </w:p>
        </w:tc>
        <w:tc>
          <w:tcPr>
            <w:tcW w:w="2419" w:type="dxa"/>
            <w:noWrap w:val="0"/>
            <w:vAlign w:val="center"/>
          </w:tcPr>
          <w:p w14:paraId="1F5E8DD9">
            <w:pPr>
              <w:spacing w:line="288" w:lineRule="auto"/>
              <w:jc w:val="center"/>
              <w:rPr>
                <w:b/>
                <w:bCs/>
                <w:kern w:val="0"/>
                <w:sz w:val="20"/>
                <w:szCs w:val="20"/>
              </w:rPr>
            </w:pPr>
            <w:r>
              <w:rPr>
                <w:b/>
                <w:bCs/>
                <w:kern w:val="0"/>
                <w:sz w:val="20"/>
                <w:szCs w:val="20"/>
              </w:rPr>
              <w:t>开课学期</w:t>
            </w:r>
          </w:p>
        </w:tc>
      </w:tr>
      <w:tr w14:paraId="1E9C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852" w:type="dxa"/>
            <w:noWrap w:val="0"/>
            <w:vAlign w:val="center"/>
          </w:tcPr>
          <w:p w14:paraId="059A69D0">
            <w:pPr>
              <w:spacing w:line="360" w:lineRule="auto"/>
              <w:jc w:val="center"/>
              <w:rPr>
                <w:kern w:val="0"/>
                <w:sz w:val="20"/>
                <w:szCs w:val="20"/>
              </w:rPr>
            </w:pPr>
            <w:r>
              <w:rPr>
                <w:kern w:val="0"/>
                <w:sz w:val="20"/>
                <w:szCs w:val="20"/>
              </w:rPr>
              <w:t>1</w:t>
            </w:r>
          </w:p>
        </w:tc>
        <w:tc>
          <w:tcPr>
            <w:tcW w:w="3093" w:type="dxa"/>
            <w:noWrap w:val="0"/>
            <w:vAlign w:val="center"/>
          </w:tcPr>
          <w:p w14:paraId="22DC3729">
            <w:pPr>
              <w:spacing w:line="360" w:lineRule="auto"/>
              <w:jc w:val="center"/>
              <w:rPr>
                <w:kern w:val="0"/>
                <w:sz w:val="20"/>
                <w:szCs w:val="20"/>
              </w:rPr>
            </w:pPr>
            <w:bookmarkStart w:id="1" w:name="OLE_LINK2"/>
            <w:bookmarkStart w:id="2" w:name="OLE_LINK3"/>
            <w:r>
              <w:rPr>
                <w:rFonts w:hint="eastAsia"/>
                <w:kern w:val="0"/>
                <w:sz w:val="20"/>
                <w:szCs w:val="20"/>
              </w:rPr>
              <w:t>刑事一体化与检察实务基础</w:t>
            </w:r>
            <w:bookmarkEnd w:id="1"/>
            <w:bookmarkEnd w:id="2"/>
          </w:p>
        </w:tc>
        <w:tc>
          <w:tcPr>
            <w:tcW w:w="848" w:type="dxa"/>
            <w:noWrap w:val="0"/>
            <w:vAlign w:val="center"/>
          </w:tcPr>
          <w:p w14:paraId="767B676F">
            <w:pPr>
              <w:spacing w:line="360" w:lineRule="auto"/>
              <w:jc w:val="center"/>
              <w:rPr>
                <w:kern w:val="0"/>
                <w:sz w:val="20"/>
                <w:szCs w:val="20"/>
              </w:rPr>
            </w:pPr>
            <w:r>
              <w:rPr>
                <w:rFonts w:hint="eastAsia"/>
                <w:kern w:val="0"/>
                <w:sz w:val="20"/>
                <w:szCs w:val="20"/>
              </w:rPr>
              <w:t>2</w:t>
            </w:r>
          </w:p>
        </w:tc>
        <w:tc>
          <w:tcPr>
            <w:tcW w:w="990" w:type="dxa"/>
            <w:noWrap w:val="0"/>
            <w:vAlign w:val="center"/>
          </w:tcPr>
          <w:p w14:paraId="326F49DC">
            <w:pPr>
              <w:spacing w:line="360" w:lineRule="auto"/>
              <w:jc w:val="center"/>
              <w:rPr>
                <w:kern w:val="0"/>
                <w:sz w:val="20"/>
                <w:szCs w:val="20"/>
              </w:rPr>
            </w:pPr>
            <w:r>
              <w:rPr>
                <w:rFonts w:hint="eastAsia"/>
                <w:kern w:val="0"/>
                <w:sz w:val="20"/>
                <w:szCs w:val="20"/>
              </w:rPr>
              <w:t>30</w:t>
            </w:r>
          </w:p>
        </w:tc>
        <w:tc>
          <w:tcPr>
            <w:tcW w:w="2419" w:type="dxa"/>
            <w:noWrap w:val="0"/>
            <w:vAlign w:val="center"/>
          </w:tcPr>
          <w:p w14:paraId="3F2BCA39">
            <w:pPr>
              <w:spacing w:line="360" w:lineRule="auto"/>
              <w:jc w:val="center"/>
              <w:rPr>
                <w:kern w:val="0"/>
                <w:sz w:val="20"/>
                <w:szCs w:val="20"/>
              </w:rPr>
            </w:pPr>
            <w:r>
              <w:rPr>
                <w:rFonts w:hint="eastAsia"/>
                <w:kern w:val="0"/>
                <w:sz w:val="20"/>
                <w:szCs w:val="20"/>
              </w:rPr>
              <w:t>2026年夏季学期</w:t>
            </w:r>
          </w:p>
        </w:tc>
      </w:tr>
      <w:tr w14:paraId="5EF4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852" w:type="dxa"/>
            <w:noWrap w:val="0"/>
            <w:vAlign w:val="center"/>
          </w:tcPr>
          <w:p w14:paraId="085C7083">
            <w:pPr>
              <w:spacing w:line="360" w:lineRule="auto"/>
              <w:jc w:val="center"/>
              <w:rPr>
                <w:kern w:val="0"/>
                <w:sz w:val="20"/>
                <w:szCs w:val="20"/>
              </w:rPr>
            </w:pPr>
            <w:r>
              <w:rPr>
                <w:kern w:val="0"/>
                <w:sz w:val="20"/>
                <w:szCs w:val="20"/>
              </w:rPr>
              <w:t>2</w:t>
            </w:r>
          </w:p>
        </w:tc>
        <w:tc>
          <w:tcPr>
            <w:tcW w:w="3093" w:type="dxa"/>
            <w:noWrap w:val="0"/>
            <w:vAlign w:val="center"/>
          </w:tcPr>
          <w:p w14:paraId="1644D73D">
            <w:pPr>
              <w:spacing w:line="360" w:lineRule="auto"/>
              <w:jc w:val="center"/>
              <w:rPr>
                <w:kern w:val="0"/>
                <w:sz w:val="20"/>
                <w:szCs w:val="20"/>
              </w:rPr>
            </w:pPr>
            <w:r>
              <w:rPr>
                <w:rFonts w:hint="eastAsia"/>
                <w:kern w:val="0"/>
                <w:sz w:val="20"/>
                <w:szCs w:val="20"/>
              </w:rPr>
              <w:t>犯罪现象分析与案件审查</w:t>
            </w:r>
          </w:p>
        </w:tc>
        <w:tc>
          <w:tcPr>
            <w:tcW w:w="848" w:type="dxa"/>
            <w:noWrap w:val="0"/>
            <w:vAlign w:val="center"/>
          </w:tcPr>
          <w:p w14:paraId="4033E7A5">
            <w:pPr>
              <w:spacing w:line="360" w:lineRule="auto"/>
              <w:jc w:val="center"/>
              <w:rPr>
                <w:kern w:val="0"/>
                <w:sz w:val="20"/>
                <w:szCs w:val="20"/>
              </w:rPr>
            </w:pPr>
            <w:r>
              <w:rPr>
                <w:rFonts w:hint="eastAsia"/>
                <w:kern w:val="0"/>
                <w:sz w:val="20"/>
                <w:szCs w:val="20"/>
              </w:rPr>
              <w:t>2</w:t>
            </w:r>
          </w:p>
        </w:tc>
        <w:tc>
          <w:tcPr>
            <w:tcW w:w="990" w:type="dxa"/>
            <w:noWrap w:val="0"/>
            <w:vAlign w:val="center"/>
          </w:tcPr>
          <w:p w14:paraId="2B82A016">
            <w:pPr>
              <w:spacing w:line="360" w:lineRule="auto"/>
              <w:jc w:val="center"/>
              <w:rPr>
                <w:kern w:val="0"/>
                <w:sz w:val="20"/>
                <w:szCs w:val="20"/>
              </w:rPr>
            </w:pPr>
            <w:r>
              <w:rPr>
                <w:rFonts w:hint="eastAsia"/>
                <w:kern w:val="0"/>
                <w:sz w:val="20"/>
                <w:szCs w:val="20"/>
              </w:rPr>
              <w:t>30</w:t>
            </w:r>
          </w:p>
        </w:tc>
        <w:tc>
          <w:tcPr>
            <w:tcW w:w="2419" w:type="dxa"/>
            <w:noWrap w:val="0"/>
            <w:vAlign w:val="center"/>
          </w:tcPr>
          <w:p w14:paraId="48FA73AD">
            <w:pPr>
              <w:spacing w:line="360" w:lineRule="auto"/>
              <w:jc w:val="center"/>
              <w:rPr>
                <w:kern w:val="0"/>
                <w:sz w:val="20"/>
                <w:szCs w:val="20"/>
              </w:rPr>
            </w:pPr>
            <w:r>
              <w:rPr>
                <w:rFonts w:hint="eastAsia"/>
                <w:kern w:val="0"/>
                <w:sz w:val="20"/>
                <w:szCs w:val="20"/>
              </w:rPr>
              <w:t>2026年夏季学期</w:t>
            </w:r>
          </w:p>
        </w:tc>
      </w:tr>
      <w:tr w14:paraId="203B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852" w:type="dxa"/>
            <w:noWrap w:val="0"/>
            <w:vAlign w:val="center"/>
          </w:tcPr>
          <w:p w14:paraId="03885C93">
            <w:pPr>
              <w:spacing w:line="360" w:lineRule="auto"/>
              <w:jc w:val="center"/>
              <w:rPr>
                <w:kern w:val="0"/>
                <w:sz w:val="20"/>
                <w:szCs w:val="20"/>
              </w:rPr>
            </w:pPr>
            <w:r>
              <w:rPr>
                <w:kern w:val="0"/>
                <w:sz w:val="20"/>
                <w:szCs w:val="20"/>
              </w:rPr>
              <w:t>3</w:t>
            </w:r>
          </w:p>
        </w:tc>
        <w:tc>
          <w:tcPr>
            <w:tcW w:w="3093" w:type="dxa"/>
            <w:noWrap w:val="0"/>
            <w:vAlign w:val="center"/>
          </w:tcPr>
          <w:p w14:paraId="6497D1F4">
            <w:pPr>
              <w:spacing w:line="360" w:lineRule="auto"/>
              <w:jc w:val="center"/>
              <w:rPr>
                <w:kern w:val="0"/>
                <w:sz w:val="20"/>
                <w:szCs w:val="20"/>
              </w:rPr>
            </w:pPr>
            <w:r>
              <w:rPr>
                <w:rFonts w:hint="eastAsia"/>
                <w:kern w:val="0"/>
                <w:sz w:val="20"/>
                <w:szCs w:val="20"/>
              </w:rPr>
              <w:t>检察法律文书制作与说理</w:t>
            </w:r>
          </w:p>
        </w:tc>
        <w:tc>
          <w:tcPr>
            <w:tcW w:w="848" w:type="dxa"/>
            <w:noWrap w:val="0"/>
            <w:vAlign w:val="center"/>
          </w:tcPr>
          <w:p w14:paraId="1045DCD2">
            <w:pPr>
              <w:spacing w:line="360" w:lineRule="auto"/>
              <w:jc w:val="center"/>
              <w:rPr>
                <w:kern w:val="0"/>
                <w:sz w:val="20"/>
                <w:szCs w:val="20"/>
              </w:rPr>
            </w:pPr>
            <w:r>
              <w:rPr>
                <w:rFonts w:hint="eastAsia"/>
                <w:kern w:val="0"/>
                <w:sz w:val="20"/>
                <w:szCs w:val="20"/>
              </w:rPr>
              <w:t>2</w:t>
            </w:r>
          </w:p>
        </w:tc>
        <w:tc>
          <w:tcPr>
            <w:tcW w:w="990" w:type="dxa"/>
            <w:noWrap w:val="0"/>
            <w:vAlign w:val="center"/>
          </w:tcPr>
          <w:p w14:paraId="537AB15D">
            <w:pPr>
              <w:spacing w:line="360" w:lineRule="auto"/>
              <w:jc w:val="center"/>
              <w:rPr>
                <w:kern w:val="0"/>
                <w:sz w:val="20"/>
                <w:szCs w:val="20"/>
              </w:rPr>
            </w:pPr>
            <w:r>
              <w:rPr>
                <w:rFonts w:hint="eastAsia"/>
                <w:kern w:val="0"/>
                <w:sz w:val="20"/>
                <w:szCs w:val="20"/>
              </w:rPr>
              <w:t>30</w:t>
            </w:r>
          </w:p>
        </w:tc>
        <w:tc>
          <w:tcPr>
            <w:tcW w:w="2419" w:type="dxa"/>
            <w:noWrap w:val="0"/>
            <w:vAlign w:val="center"/>
          </w:tcPr>
          <w:p w14:paraId="2078FD6E">
            <w:pPr>
              <w:spacing w:line="360" w:lineRule="auto"/>
              <w:jc w:val="center"/>
              <w:rPr>
                <w:kern w:val="0"/>
                <w:sz w:val="20"/>
                <w:szCs w:val="20"/>
              </w:rPr>
            </w:pPr>
            <w:r>
              <w:rPr>
                <w:rFonts w:hint="eastAsia"/>
                <w:kern w:val="0"/>
                <w:sz w:val="20"/>
                <w:szCs w:val="20"/>
              </w:rPr>
              <w:t>2026年夏季学期</w:t>
            </w:r>
          </w:p>
        </w:tc>
      </w:tr>
      <w:tr w14:paraId="7525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852" w:type="dxa"/>
            <w:noWrap w:val="0"/>
            <w:vAlign w:val="center"/>
          </w:tcPr>
          <w:p w14:paraId="6AE49489">
            <w:pPr>
              <w:spacing w:line="360" w:lineRule="auto"/>
              <w:jc w:val="center"/>
              <w:rPr>
                <w:kern w:val="0"/>
                <w:sz w:val="20"/>
                <w:szCs w:val="20"/>
              </w:rPr>
            </w:pPr>
            <w:r>
              <w:rPr>
                <w:kern w:val="0"/>
                <w:sz w:val="20"/>
                <w:szCs w:val="20"/>
              </w:rPr>
              <w:t>4</w:t>
            </w:r>
          </w:p>
        </w:tc>
        <w:tc>
          <w:tcPr>
            <w:tcW w:w="3093" w:type="dxa"/>
            <w:noWrap w:val="0"/>
            <w:vAlign w:val="center"/>
          </w:tcPr>
          <w:p w14:paraId="48A48AC5">
            <w:pPr>
              <w:spacing w:line="360" w:lineRule="auto"/>
              <w:jc w:val="center"/>
              <w:rPr>
                <w:kern w:val="0"/>
                <w:sz w:val="20"/>
                <w:szCs w:val="20"/>
              </w:rPr>
            </w:pPr>
            <w:r>
              <w:rPr>
                <w:rFonts w:hint="eastAsia"/>
                <w:kern w:val="0"/>
                <w:sz w:val="20"/>
                <w:szCs w:val="20"/>
              </w:rPr>
              <w:t>业务实训与模拟法庭</w:t>
            </w:r>
          </w:p>
        </w:tc>
        <w:tc>
          <w:tcPr>
            <w:tcW w:w="848" w:type="dxa"/>
            <w:noWrap w:val="0"/>
            <w:vAlign w:val="center"/>
          </w:tcPr>
          <w:p w14:paraId="71409A61">
            <w:pPr>
              <w:spacing w:line="360" w:lineRule="auto"/>
              <w:jc w:val="center"/>
              <w:rPr>
                <w:kern w:val="0"/>
                <w:sz w:val="20"/>
                <w:szCs w:val="20"/>
              </w:rPr>
            </w:pPr>
            <w:r>
              <w:rPr>
                <w:rFonts w:hint="eastAsia"/>
                <w:kern w:val="0"/>
                <w:sz w:val="20"/>
                <w:szCs w:val="20"/>
              </w:rPr>
              <w:t>2</w:t>
            </w:r>
          </w:p>
        </w:tc>
        <w:tc>
          <w:tcPr>
            <w:tcW w:w="990" w:type="dxa"/>
            <w:noWrap w:val="0"/>
            <w:vAlign w:val="center"/>
          </w:tcPr>
          <w:p w14:paraId="574F7846">
            <w:pPr>
              <w:spacing w:line="360" w:lineRule="auto"/>
              <w:jc w:val="center"/>
              <w:rPr>
                <w:kern w:val="0"/>
                <w:sz w:val="20"/>
                <w:szCs w:val="20"/>
              </w:rPr>
            </w:pPr>
            <w:r>
              <w:rPr>
                <w:rFonts w:hint="eastAsia"/>
                <w:kern w:val="0"/>
                <w:sz w:val="20"/>
                <w:szCs w:val="20"/>
              </w:rPr>
              <w:t>30</w:t>
            </w:r>
          </w:p>
        </w:tc>
        <w:tc>
          <w:tcPr>
            <w:tcW w:w="2419" w:type="dxa"/>
            <w:noWrap w:val="0"/>
            <w:vAlign w:val="center"/>
          </w:tcPr>
          <w:p w14:paraId="698A4913">
            <w:pPr>
              <w:spacing w:line="360" w:lineRule="auto"/>
              <w:jc w:val="center"/>
              <w:rPr>
                <w:kern w:val="0"/>
                <w:sz w:val="20"/>
                <w:szCs w:val="20"/>
              </w:rPr>
            </w:pPr>
            <w:r>
              <w:rPr>
                <w:rFonts w:hint="eastAsia"/>
                <w:kern w:val="0"/>
                <w:sz w:val="20"/>
                <w:szCs w:val="20"/>
              </w:rPr>
              <w:t>2026年夏季学期</w:t>
            </w:r>
          </w:p>
        </w:tc>
      </w:tr>
      <w:tr w14:paraId="79EC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3945" w:type="dxa"/>
            <w:gridSpan w:val="2"/>
            <w:noWrap w:val="0"/>
            <w:vAlign w:val="center"/>
          </w:tcPr>
          <w:p w14:paraId="18E304E0">
            <w:pPr>
              <w:spacing w:line="360" w:lineRule="auto"/>
              <w:jc w:val="center"/>
              <w:rPr>
                <w:kern w:val="0"/>
                <w:sz w:val="20"/>
                <w:szCs w:val="20"/>
              </w:rPr>
            </w:pPr>
            <w:r>
              <w:rPr>
                <w:kern w:val="0"/>
                <w:sz w:val="20"/>
                <w:szCs w:val="20"/>
              </w:rPr>
              <w:t>小计</w:t>
            </w:r>
          </w:p>
        </w:tc>
        <w:tc>
          <w:tcPr>
            <w:tcW w:w="848" w:type="dxa"/>
            <w:noWrap w:val="0"/>
            <w:vAlign w:val="center"/>
          </w:tcPr>
          <w:p w14:paraId="5F7BC8CB">
            <w:pPr>
              <w:spacing w:line="360" w:lineRule="auto"/>
              <w:jc w:val="center"/>
              <w:rPr>
                <w:kern w:val="0"/>
                <w:sz w:val="20"/>
                <w:szCs w:val="20"/>
              </w:rPr>
            </w:pPr>
            <w:r>
              <w:rPr>
                <w:rFonts w:hint="eastAsia"/>
                <w:kern w:val="0"/>
                <w:sz w:val="20"/>
                <w:szCs w:val="20"/>
              </w:rPr>
              <w:t>8</w:t>
            </w:r>
          </w:p>
        </w:tc>
        <w:tc>
          <w:tcPr>
            <w:tcW w:w="990" w:type="dxa"/>
            <w:noWrap w:val="0"/>
            <w:vAlign w:val="center"/>
          </w:tcPr>
          <w:p w14:paraId="26E2CD04">
            <w:pPr>
              <w:spacing w:line="360" w:lineRule="auto"/>
              <w:jc w:val="center"/>
              <w:rPr>
                <w:kern w:val="0"/>
                <w:sz w:val="20"/>
                <w:szCs w:val="20"/>
              </w:rPr>
            </w:pPr>
            <w:r>
              <w:rPr>
                <w:rFonts w:hint="eastAsia"/>
                <w:kern w:val="0"/>
                <w:sz w:val="20"/>
                <w:szCs w:val="20"/>
              </w:rPr>
              <w:t>120</w:t>
            </w:r>
          </w:p>
        </w:tc>
        <w:tc>
          <w:tcPr>
            <w:tcW w:w="2419" w:type="dxa"/>
            <w:noWrap w:val="0"/>
            <w:vAlign w:val="center"/>
          </w:tcPr>
          <w:p w14:paraId="24366C0D">
            <w:pPr>
              <w:spacing w:line="360" w:lineRule="auto"/>
              <w:jc w:val="center"/>
              <w:rPr>
                <w:kern w:val="0"/>
                <w:sz w:val="20"/>
                <w:szCs w:val="20"/>
              </w:rPr>
            </w:pPr>
          </w:p>
        </w:tc>
      </w:tr>
    </w:tbl>
    <w:p w14:paraId="2B0A2A4D">
      <w:pPr>
        <w:spacing w:line="560" w:lineRule="exact"/>
        <w:ind w:firstLine="361" w:firstLineChars="150"/>
        <w:rPr>
          <w:rFonts w:hint="eastAsia" w:ascii="宋体" w:hAnsi="宋体"/>
          <w:b/>
          <w:sz w:val="24"/>
        </w:rPr>
      </w:pPr>
      <w:r>
        <w:rPr>
          <w:rFonts w:hint="eastAsia" w:ascii="宋体" w:hAnsi="宋体"/>
          <w:b/>
          <w:sz w:val="24"/>
        </w:rPr>
        <w:t>附：课程简介</w:t>
      </w:r>
    </w:p>
    <w:p w14:paraId="78DD46E6">
      <w:pPr>
        <w:numPr>
          <w:ilvl w:val="0"/>
          <w:numId w:val="2"/>
        </w:numPr>
        <w:spacing w:line="560" w:lineRule="exact"/>
        <w:rPr>
          <w:rFonts w:hint="eastAsia" w:ascii="宋体" w:hAnsi="宋体"/>
          <w:b/>
          <w:sz w:val="24"/>
        </w:rPr>
      </w:pPr>
      <w:r>
        <w:rPr>
          <w:rFonts w:hint="eastAsia" w:ascii="宋体" w:hAnsi="宋体"/>
          <w:b/>
          <w:sz w:val="24"/>
        </w:rPr>
        <w:t>课程《刑事一体化与检察实务基础》</w:t>
      </w:r>
    </w:p>
    <w:p w14:paraId="46E4A3D9">
      <w:pPr>
        <w:spacing w:line="560" w:lineRule="exact"/>
        <w:ind w:firstLine="480" w:firstLineChars="200"/>
        <w:rPr>
          <w:rFonts w:hint="eastAsia" w:ascii="黑体" w:eastAsia="黑体"/>
          <w:bCs/>
          <w:sz w:val="24"/>
        </w:rPr>
      </w:pPr>
      <w:r>
        <w:rPr>
          <w:rFonts w:hint="eastAsia" w:ascii="宋体" w:hAnsi="宋体" w:cs="宋体"/>
          <w:bCs/>
          <w:sz w:val="24"/>
        </w:rPr>
        <w:t>该课程旨在系统阐释刑事一体化理论，并将其作为核心方法论应用于检察实务。课程将深入探讨刑事一体化的内涵，即刑法运行的内外协调与刑事法学各学科的深度融通，并重点分析其在检察履职中的具体应用，如指导审查逮捕、公诉案件审查报告的撰写以及轻罪治理体系的构建。通过本课程的学习，学生将掌握运用刑事一体化思维解决刑事实体法与程序法交叉问题的能力，理解检察一体化机制改革，并为实现“高质效办好每一个案件”及推动刑事检察现代化奠定坚实的理论基础。</w:t>
      </w:r>
    </w:p>
    <w:p w14:paraId="68D82ACD">
      <w:pPr>
        <w:numPr>
          <w:ilvl w:val="0"/>
          <w:numId w:val="2"/>
        </w:numPr>
        <w:spacing w:line="560" w:lineRule="exact"/>
        <w:rPr>
          <w:rFonts w:ascii="宋体" w:hAnsi="宋体"/>
          <w:b/>
          <w:sz w:val="24"/>
        </w:rPr>
      </w:pPr>
      <w:r>
        <w:rPr>
          <w:rFonts w:hint="eastAsia" w:ascii="宋体" w:hAnsi="宋体"/>
          <w:b/>
          <w:sz w:val="24"/>
        </w:rPr>
        <w:t>课程《犯罪现象分析与案件审查》</w:t>
      </w:r>
    </w:p>
    <w:p w14:paraId="7CE9293B">
      <w:pPr>
        <w:spacing w:line="560" w:lineRule="exact"/>
        <w:ind w:firstLine="480" w:firstLineChars="200"/>
        <w:rPr>
          <w:rFonts w:hint="eastAsia" w:ascii="宋体" w:hAnsi="宋体" w:cs="宋体"/>
          <w:bCs/>
          <w:sz w:val="24"/>
        </w:rPr>
      </w:pPr>
      <w:r>
        <w:rPr>
          <w:rFonts w:hint="eastAsia" w:ascii="宋体" w:hAnsi="宋体" w:cs="宋体"/>
          <w:bCs/>
          <w:sz w:val="24"/>
        </w:rPr>
        <w:t>该课程旨在系统培养学生运用犯罪学理论指导刑事检察实务的核心能力。课程将深入解析犯罪现象的概念、特性与类型，并教授如何运用犯罪分析的方法与技巧，对案件进行证据审查、事实认定与法律适用分析。通过融合犯罪学的结构分析与过程分析，以及借鉴“鉴定式”报告的层层递进思维，本课程致力于使学生掌握从受案、侦查到审查起诉的全流程关键技能，最终实现高质效办理刑事案件的目标。</w:t>
      </w:r>
    </w:p>
    <w:p w14:paraId="2D2D75C4">
      <w:pPr>
        <w:numPr>
          <w:ilvl w:val="0"/>
          <w:numId w:val="2"/>
        </w:numPr>
        <w:spacing w:line="560" w:lineRule="exact"/>
        <w:rPr>
          <w:rFonts w:hint="eastAsia" w:ascii="宋体" w:hAnsi="宋体"/>
          <w:b/>
          <w:sz w:val="24"/>
        </w:rPr>
      </w:pPr>
      <w:r>
        <w:rPr>
          <w:rFonts w:hint="eastAsia" w:ascii="宋体" w:hAnsi="宋体"/>
          <w:b/>
          <w:sz w:val="24"/>
        </w:rPr>
        <w:t>课程《检察法律文书制作与说理》</w:t>
      </w:r>
    </w:p>
    <w:p w14:paraId="04EDB744">
      <w:pPr>
        <w:spacing w:line="560" w:lineRule="exact"/>
        <w:ind w:firstLine="480" w:firstLineChars="200"/>
        <w:rPr>
          <w:rFonts w:hint="eastAsia" w:ascii="宋体" w:hAnsi="宋体" w:cs="宋体"/>
          <w:bCs/>
          <w:sz w:val="24"/>
        </w:rPr>
      </w:pPr>
      <w:r>
        <w:rPr>
          <w:rFonts w:hint="eastAsia" w:ascii="宋体" w:hAnsi="宋体" w:cs="宋体"/>
          <w:bCs/>
          <w:sz w:val="24"/>
        </w:rPr>
        <w:t>该课程旨在系统培养学生制作高质量检察法律文书的核心能力。课程将深入解析起诉书、不起诉决定书、审查报告等核心文书的规范格式与制作要求，并重点强化释法说理能力的训练。学生将学习如何对文书所载处理决定依据的事实、证据、法律、政策等进行清晰、有说服力的阐述与说明，掌握让法律文书事实清、证据准、说理透、用法严的实务技能。本课程是连接法学理论与检察实践、提升司法办案质效与公信力的关键环节。</w:t>
      </w:r>
    </w:p>
    <w:p w14:paraId="307CB2B5">
      <w:pPr>
        <w:numPr>
          <w:ilvl w:val="0"/>
          <w:numId w:val="2"/>
        </w:numPr>
        <w:spacing w:line="560" w:lineRule="exact"/>
        <w:rPr>
          <w:rFonts w:ascii="宋体" w:hAnsi="宋体"/>
          <w:b/>
          <w:sz w:val="24"/>
        </w:rPr>
      </w:pPr>
      <w:r>
        <w:rPr>
          <w:rFonts w:hint="eastAsia" w:ascii="宋体" w:hAnsi="宋体"/>
          <w:b/>
          <w:sz w:val="24"/>
        </w:rPr>
        <w:t>课程《业务实训与模拟法庭》</w:t>
      </w:r>
    </w:p>
    <w:p w14:paraId="7D49D495">
      <w:pPr>
        <w:spacing w:line="560" w:lineRule="exact"/>
        <w:ind w:firstLine="480" w:firstLineChars="200"/>
        <w:rPr>
          <w:rFonts w:ascii="宋体" w:hAnsi="宋体" w:cs="宋体"/>
          <w:bCs/>
          <w:sz w:val="24"/>
        </w:rPr>
      </w:pPr>
      <w:r>
        <w:rPr>
          <w:rFonts w:hint="eastAsia" w:ascii="宋体" w:hAnsi="宋体" w:cs="宋体"/>
          <w:bCs/>
          <w:sz w:val="24"/>
        </w:rPr>
        <w:t>该课程是一门高度实践性的专业核心课程，旨在通过模拟真实的司法审判过程，系统性地训练学生的法律实务操作能力与综合职业素养。课程将采用案例教学法，选取典型或热点案件，让学生分别扮演法官、检察官、律师、当事人等角色，完整参与从案情分析、法律文书准备到正式开庭审理的全流程。通过这种沉浸式的实训，学生能够将法学理论知识转化为解决实际问题的技能，深刻理解司法程序，并有效锻炼法律诠释、证据运用、法庭辩论及协同工作等关键能力。本课程是连接法学教育与法律职业的重要桥梁，致力于培养适应社会主义法治建设需要的卓越法律人才。</w:t>
      </w:r>
    </w:p>
    <w:p w14:paraId="359EE980">
      <w:pPr>
        <w:spacing w:line="360" w:lineRule="auto"/>
        <w:ind w:firstLine="480" w:firstLineChars="200"/>
        <w:rPr>
          <w:rFonts w:hint="eastAsia" w:ascii="宋体" w:hAnsi="宋体"/>
          <w:b/>
          <w:bCs/>
          <w:color w:val="4D4D4D"/>
          <w:sz w:val="24"/>
        </w:rPr>
      </w:pPr>
      <w:r>
        <w:rPr>
          <w:rStyle w:val="9"/>
          <w:rFonts w:hint="eastAsia" w:ascii="黑体" w:hAnsi="黑体" w:eastAsia="黑体" w:cs="黑体"/>
          <w:b w:val="0"/>
          <w:bCs w:val="0"/>
          <w:color w:val="4D4D4D"/>
          <w:sz w:val="24"/>
        </w:rPr>
        <w:t>五、师资力量</w:t>
      </w:r>
    </w:p>
    <w:p w14:paraId="45FE9A9A">
      <w:pPr>
        <w:spacing w:line="560" w:lineRule="exact"/>
        <w:ind w:firstLine="480" w:firstLineChars="200"/>
        <w:rPr>
          <w:rFonts w:hint="eastAsia" w:ascii="宋体" w:hAnsi="宋体" w:cs="宋体"/>
          <w:bCs/>
          <w:sz w:val="24"/>
        </w:rPr>
      </w:pPr>
      <w:r>
        <w:rPr>
          <w:rFonts w:hint="eastAsia" w:ascii="宋体" w:hAnsi="宋体" w:cs="宋体"/>
          <w:bCs/>
          <w:sz w:val="24"/>
        </w:rPr>
        <w:t>袁小玉    副教授     上海政法学院刑事司法学院</w:t>
      </w:r>
    </w:p>
    <w:p w14:paraId="287A0B29">
      <w:pPr>
        <w:spacing w:line="560" w:lineRule="exact"/>
        <w:ind w:firstLine="480" w:firstLineChars="200"/>
        <w:rPr>
          <w:rFonts w:hint="eastAsia" w:ascii="宋体" w:hAnsi="宋体" w:cs="宋体"/>
          <w:bCs/>
          <w:sz w:val="24"/>
        </w:rPr>
      </w:pPr>
      <w:r>
        <w:rPr>
          <w:rFonts w:hint="eastAsia" w:ascii="宋体" w:hAnsi="宋体" w:cs="宋体"/>
          <w:bCs/>
          <w:sz w:val="24"/>
        </w:rPr>
        <w:t>梁春程</w:t>
      </w:r>
      <w:r>
        <w:rPr>
          <w:rFonts w:hint="eastAsia" w:ascii="宋体" w:hAnsi="宋体" w:cs="宋体"/>
          <w:bCs/>
          <w:sz w:val="24"/>
        </w:rPr>
        <w:tab/>
      </w:r>
      <w:r>
        <w:rPr>
          <w:rFonts w:hint="eastAsia" w:ascii="宋体" w:hAnsi="宋体" w:cs="宋体"/>
          <w:bCs/>
          <w:sz w:val="24"/>
        </w:rPr>
        <w:tab/>
      </w:r>
      <w:r>
        <w:rPr>
          <w:rFonts w:hint="eastAsia" w:ascii="宋体" w:hAnsi="宋体" w:cs="宋体"/>
          <w:bCs/>
          <w:sz w:val="24"/>
        </w:rPr>
        <w:t xml:space="preserve">讲师    </w:t>
      </w:r>
      <w:bookmarkStart w:id="3" w:name="OLE_LINK11"/>
      <w:r>
        <w:rPr>
          <w:rFonts w:hint="eastAsia" w:ascii="宋体" w:hAnsi="宋体" w:cs="宋体"/>
          <w:bCs/>
          <w:sz w:val="24"/>
        </w:rPr>
        <w:t xml:space="preserve">   上海政法学院刑事司法学院</w:t>
      </w:r>
      <w:bookmarkEnd w:id="3"/>
    </w:p>
    <w:p w14:paraId="2B8F3963">
      <w:pPr>
        <w:spacing w:line="560" w:lineRule="exact"/>
        <w:ind w:firstLine="480" w:firstLineChars="200"/>
        <w:rPr>
          <w:rFonts w:hint="eastAsia" w:ascii="宋体" w:hAnsi="宋体" w:cs="宋体"/>
          <w:bCs/>
          <w:sz w:val="24"/>
        </w:rPr>
      </w:pPr>
      <w:r>
        <w:rPr>
          <w:rFonts w:hint="eastAsia" w:ascii="宋体" w:hAnsi="宋体" w:cs="宋体"/>
          <w:bCs/>
          <w:sz w:val="24"/>
        </w:rPr>
        <w:t>吕小红</w:t>
      </w:r>
      <w:r>
        <w:rPr>
          <w:rFonts w:hint="eastAsia" w:ascii="宋体" w:hAnsi="宋体" w:cs="宋体"/>
          <w:bCs/>
          <w:sz w:val="24"/>
        </w:rPr>
        <w:tab/>
      </w:r>
      <w:r>
        <w:rPr>
          <w:rFonts w:hint="eastAsia" w:ascii="宋体" w:hAnsi="宋体" w:cs="宋体"/>
          <w:bCs/>
          <w:sz w:val="24"/>
        </w:rPr>
        <w:tab/>
      </w:r>
      <w:r>
        <w:rPr>
          <w:rFonts w:hint="eastAsia" w:ascii="宋体" w:hAnsi="宋体" w:cs="宋体"/>
          <w:bCs/>
          <w:sz w:val="24"/>
        </w:rPr>
        <w:t>讲师       上海政法学院刑事司法学院</w:t>
      </w:r>
    </w:p>
    <w:p w14:paraId="2990C178">
      <w:pPr>
        <w:spacing w:line="560" w:lineRule="exact"/>
        <w:ind w:firstLine="480" w:firstLineChars="200"/>
        <w:rPr>
          <w:rFonts w:hint="eastAsia" w:ascii="宋体" w:hAnsi="宋体" w:cs="宋体"/>
          <w:bCs/>
          <w:sz w:val="24"/>
        </w:rPr>
      </w:pPr>
      <w:r>
        <w:rPr>
          <w:rFonts w:hint="eastAsia" w:ascii="宋体" w:hAnsi="宋体" w:cs="宋体"/>
          <w:bCs/>
          <w:sz w:val="24"/>
        </w:rPr>
        <w:t>王  哲</w:t>
      </w:r>
      <w:r>
        <w:rPr>
          <w:rFonts w:hint="eastAsia" w:ascii="宋体" w:hAnsi="宋体" w:cs="宋体"/>
          <w:bCs/>
          <w:sz w:val="24"/>
        </w:rPr>
        <w:tab/>
      </w:r>
      <w:r>
        <w:rPr>
          <w:rFonts w:hint="eastAsia" w:ascii="宋体" w:hAnsi="宋体" w:cs="宋体"/>
          <w:bCs/>
          <w:sz w:val="24"/>
        </w:rPr>
        <w:tab/>
      </w:r>
      <w:r>
        <w:rPr>
          <w:rFonts w:hint="eastAsia" w:ascii="宋体" w:hAnsi="宋体" w:cs="宋体"/>
          <w:bCs/>
          <w:sz w:val="24"/>
        </w:rPr>
        <w:t>讲师       上海政法学院刑事司法学院</w:t>
      </w:r>
    </w:p>
    <w:p w14:paraId="6DAEBAD6">
      <w:pPr>
        <w:spacing w:line="560" w:lineRule="exact"/>
        <w:ind w:firstLine="480" w:firstLineChars="200"/>
        <w:rPr>
          <w:rFonts w:hint="eastAsia" w:ascii="宋体" w:hAnsi="宋体" w:cs="宋体"/>
          <w:bCs/>
          <w:sz w:val="24"/>
        </w:rPr>
      </w:pPr>
      <w:r>
        <w:rPr>
          <w:rFonts w:hint="eastAsia" w:ascii="宋体" w:hAnsi="宋体" w:cs="宋体"/>
          <w:bCs/>
          <w:sz w:val="24"/>
        </w:rPr>
        <w:t>朱聚红    副检察长         浙江省嘉善县人民检察院</w:t>
      </w:r>
    </w:p>
    <w:p w14:paraId="21D125ED">
      <w:pPr>
        <w:spacing w:line="560" w:lineRule="exact"/>
        <w:ind w:firstLine="480" w:firstLineChars="200"/>
        <w:rPr>
          <w:rFonts w:hint="eastAsia" w:ascii="宋体" w:hAnsi="宋体" w:cs="宋体"/>
          <w:bCs/>
          <w:sz w:val="24"/>
        </w:rPr>
      </w:pPr>
      <w:r>
        <w:rPr>
          <w:rFonts w:ascii="宋体" w:hAnsi="宋体" w:cs="宋体"/>
          <w:bCs/>
          <w:sz w:val="24"/>
        </w:rPr>
        <w:t>山笋怡</w:t>
      </w:r>
      <w:r>
        <w:rPr>
          <w:rFonts w:hint="eastAsia" w:ascii="宋体" w:hAnsi="宋体" w:cs="宋体"/>
          <w:bCs/>
          <w:sz w:val="24"/>
        </w:rPr>
        <w:t xml:space="preserve">    第五检察部主任   浙江省嘉善县人民检察院 </w:t>
      </w:r>
    </w:p>
    <w:p w14:paraId="2DE50D26">
      <w:pPr>
        <w:spacing w:line="560" w:lineRule="exact"/>
        <w:ind w:firstLine="480" w:firstLineChars="200"/>
        <w:rPr>
          <w:rFonts w:ascii="宋体" w:hAnsi="宋体" w:cs="宋体"/>
          <w:bCs/>
          <w:sz w:val="24"/>
        </w:rPr>
      </w:pPr>
      <w:r>
        <w:rPr>
          <w:rFonts w:ascii="宋体" w:hAnsi="宋体" w:cs="宋体"/>
          <w:bCs/>
          <w:sz w:val="24"/>
        </w:rPr>
        <w:t>方小光</w:t>
      </w:r>
      <w:r>
        <w:rPr>
          <w:rFonts w:hint="eastAsia" w:ascii="宋体" w:hAnsi="宋体" w:cs="宋体"/>
          <w:bCs/>
          <w:sz w:val="24"/>
        </w:rPr>
        <w:t xml:space="preserve">    第三检察部副主任 浙江省嘉善县人民检察院 </w:t>
      </w:r>
    </w:p>
    <w:p w14:paraId="2E69683F">
      <w:pPr>
        <w:spacing w:line="560" w:lineRule="exact"/>
        <w:ind w:firstLine="480" w:firstLineChars="200"/>
        <w:rPr>
          <w:rFonts w:ascii="宋体" w:hAnsi="宋体" w:cs="宋体"/>
          <w:bCs/>
          <w:sz w:val="24"/>
        </w:rPr>
      </w:pPr>
      <w:r>
        <w:rPr>
          <w:rFonts w:hint="eastAsia" w:ascii="宋体" w:hAnsi="宋体" w:cs="宋体"/>
          <w:bCs/>
          <w:sz w:val="24"/>
        </w:rPr>
        <w:t>沐惠娟    第一检察部副主任 江苏省苏州市吴江区人民检察院</w:t>
      </w:r>
    </w:p>
    <w:p w14:paraId="16CF7E39">
      <w:pPr>
        <w:spacing w:line="560" w:lineRule="exact"/>
        <w:ind w:firstLine="480" w:firstLineChars="200"/>
        <w:rPr>
          <w:rStyle w:val="9"/>
          <w:rFonts w:ascii="宋体" w:hAnsi="宋体" w:cs="宋体"/>
          <w:b w:val="0"/>
          <w:sz w:val="24"/>
        </w:rPr>
      </w:pPr>
      <w:r>
        <w:rPr>
          <w:rStyle w:val="9"/>
          <w:rFonts w:hint="eastAsia" w:ascii="宋体" w:hAnsi="宋体" w:cs="宋体"/>
          <w:b w:val="0"/>
          <w:sz w:val="24"/>
        </w:rPr>
        <w:t>曹  杰    副检察长         上海市青浦区人民检察院</w:t>
      </w:r>
    </w:p>
    <w:p w14:paraId="00BF21C6">
      <w:pPr>
        <w:spacing w:line="560" w:lineRule="exact"/>
        <w:ind w:firstLine="480" w:firstLineChars="200"/>
        <w:rPr>
          <w:rStyle w:val="9"/>
          <w:rFonts w:ascii="宋体" w:hAnsi="宋体" w:cs="宋体"/>
          <w:b w:val="0"/>
          <w:sz w:val="24"/>
        </w:rPr>
      </w:pPr>
      <w:r>
        <w:rPr>
          <w:rStyle w:val="9"/>
          <w:rFonts w:hint="eastAsia" w:ascii="宋体" w:hAnsi="宋体" w:cs="宋体"/>
          <w:b w:val="0"/>
          <w:sz w:val="24"/>
        </w:rPr>
        <w:t>高  冰    第一检察部主任    上海市青浦区人民检察院</w:t>
      </w:r>
    </w:p>
    <w:p w14:paraId="485E6469">
      <w:pPr>
        <w:spacing w:line="360" w:lineRule="auto"/>
        <w:ind w:firstLine="480" w:firstLineChars="200"/>
        <w:rPr>
          <w:rStyle w:val="9"/>
          <w:rFonts w:hint="eastAsia" w:ascii="黑体" w:hAnsi="黑体" w:eastAsia="黑体" w:cs="黑体"/>
          <w:b w:val="0"/>
          <w:bCs w:val="0"/>
          <w:color w:val="000000"/>
          <w:sz w:val="24"/>
        </w:rPr>
      </w:pPr>
      <w:r>
        <w:rPr>
          <w:rStyle w:val="9"/>
          <w:rFonts w:hint="eastAsia" w:ascii="黑体" w:hAnsi="黑体" w:eastAsia="黑体" w:cs="黑体"/>
          <w:b w:val="0"/>
          <w:bCs w:val="0"/>
          <w:color w:val="000000"/>
          <w:sz w:val="24"/>
        </w:rPr>
        <w:t>六、学制及证书</w:t>
      </w:r>
    </w:p>
    <w:p w14:paraId="4150472C">
      <w:pPr>
        <w:spacing w:line="360" w:lineRule="auto"/>
        <w:ind w:firstLine="480" w:firstLineChars="200"/>
        <w:rPr>
          <w:rFonts w:hint="eastAsia" w:ascii="宋体" w:hAnsi="宋体"/>
          <w:color w:val="4D4D4D"/>
          <w:sz w:val="24"/>
        </w:rPr>
      </w:pPr>
      <w:r>
        <w:rPr>
          <w:rFonts w:hint="eastAsia" w:ascii="宋体" w:hAnsi="宋体"/>
          <w:color w:val="000000"/>
          <w:sz w:val="24"/>
        </w:rPr>
        <w:t>本微专业修读年限为1个学期,</w:t>
      </w:r>
      <w:r>
        <w:rPr>
          <w:rFonts w:hint="eastAsia" w:ascii="宋体" w:hAnsi="宋体" w:cs="宋体"/>
          <w:bCs/>
          <w:sz w:val="24"/>
        </w:rPr>
        <w:t xml:space="preserve"> 学生须修满本培养方案规定的8个学分</w:t>
      </w:r>
      <w:r>
        <w:rPr>
          <w:rFonts w:hint="eastAsia" w:ascii="宋体" w:hAnsi="宋体"/>
          <w:color w:val="000000"/>
          <w:sz w:val="24"/>
        </w:rPr>
        <w:t>。完成全部课程修满学分的同学可颁发“</w:t>
      </w:r>
      <w:r>
        <w:rPr>
          <w:rFonts w:hint="eastAsia" w:ascii="黑体" w:hAnsi="黑体" w:eastAsia="黑体" w:cs="黑体"/>
          <w:bCs/>
          <w:sz w:val="24"/>
        </w:rPr>
        <w:t>刑事检察与犯罪治理实务</w:t>
      </w:r>
      <w:r>
        <w:rPr>
          <w:rFonts w:hint="eastAsia" w:ascii="宋体" w:hAnsi="宋体" w:cs="宋体"/>
          <w:bCs/>
          <w:sz w:val="24"/>
        </w:rPr>
        <w:t>”微专业证书。</w:t>
      </w:r>
    </w:p>
    <w:p w14:paraId="3716EF6A">
      <w:pPr>
        <w:spacing w:line="360" w:lineRule="auto"/>
        <w:ind w:firstLine="480" w:firstLineChars="200"/>
        <w:rPr>
          <w:rStyle w:val="9"/>
          <w:rFonts w:ascii="黑体" w:hAnsi="黑体" w:eastAsia="黑体" w:cs="黑体"/>
          <w:b w:val="0"/>
          <w:bCs w:val="0"/>
          <w:color w:val="000000"/>
          <w:sz w:val="24"/>
          <w:szCs w:val="32"/>
        </w:rPr>
      </w:pPr>
      <w:r>
        <w:rPr>
          <w:rStyle w:val="9"/>
          <w:rFonts w:hint="eastAsia" w:ascii="黑体" w:hAnsi="黑体" w:eastAsia="黑体" w:cs="黑体"/>
          <w:b w:val="0"/>
          <w:bCs w:val="0"/>
          <w:color w:val="000000"/>
          <w:sz w:val="24"/>
          <w:szCs w:val="32"/>
        </w:rPr>
        <w:t>七、报名时间与办法</w:t>
      </w:r>
    </w:p>
    <w:p w14:paraId="09465ED2">
      <w:pPr>
        <w:spacing w:line="560" w:lineRule="exact"/>
        <w:ind w:firstLine="482" w:firstLineChars="200"/>
        <w:rPr>
          <w:rFonts w:hint="eastAsia" w:ascii="宋体" w:hAnsi="宋体" w:cs="宋体"/>
          <w:b/>
          <w:color w:val="EE0000"/>
          <w:sz w:val="24"/>
          <w:u w:val="single"/>
        </w:rPr>
      </w:pPr>
      <w:r>
        <w:rPr>
          <w:rFonts w:hint="eastAsia" w:ascii="宋体" w:hAnsi="宋体" w:cs="宋体"/>
          <w:b/>
          <w:sz w:val="24"/>
        </w:rPr>
        <w:t>报名截止时间：</w:t>
      </w:r>
      <w:r>
        <w:rPr>
          <w:rFonts w:hint="eastAsia" w:ascii="宋体" w:hAnsi="宋体"/>
          <w:color w:val="000000"/>
          <w:sz w:val="24"/>
        </w:rPr>
        <w:t>2026年5月1</w:t>
      </w:r>
      <w:r>
        <w:rPr>
          <w:rFonts w:hint="eastAsia" w:ascii="宋体" w:hAnsi="宋体"/>
          <w:color w:val="000000"/>
          <w:sz w:val="24"/>
          <w:lang w:val="en-US" w:eastAsia="zh-CN"/>
        </w:rPr>
        <w:t>2</w:t>
      </w:r>
      <w:r>
        <w:rPr>
          <w:rFonts w:hint="eastAsia" w:ascii="宋体" w:hAnsi="宋体"/>
          <w:color w:val="000000"/>
          <w:sz w:val="24"/>
        </w:rPr>
        <w:t>日（星期</w:t>
      </w:r>
      <w:r>
        <w:rPr>
          <w:rFonts w:hint="eastAsia" w:ascii="宋体" w:hAnsi="宋体"/>
          <w:color w:val="000000"/>
          <w:sz w:val="24"/>
          <w:lang w:val="en-US" w:eastAsia="zh-CN"/>
        </w:rPr>
        <w:t>二</w:t>
      </w:r>
      <w:r>
        <w:rPr>
          <w:rFonts w:hint="eastAsia" w:ascii="宋体" w:hAnsi="宋体"/>
          <w:color w:val="000000"/>
          <w:sz w:val="24"/>
        </w:rPr>
        <w:t>）</w:t>
      </w:r>
      <w:r>
        <w:rPr>
          <w:rFonts w:hint="eastAsia" w:ascii="宋体" w:hAnsi="宋体" w:cs="宋体"/>
          <w:bCs/>
          <w:sz w:val="24"/>
        </w:rPr>
        <w:t>。</w:t>
      </w:r>
    </w:p>
    <w:p w14:paraId="1F4E722F">
      <w:pPr>
        <w:spacing w:line="360" w:lineRule="auto"/>
        <w:ind w:firstLine="482" w:firstLineChars="200"/>
        <w:rPr>
          <w:rFonts w:hint="eastAsia" w:ascii="宋体" w:hAnsi="宋体"/>
          <w:color w:val="auto"/>
          <w:sz w:val="24"/>
          <w:highlight w:val="none"/>
        </w:rPr>
      </w:pPr>
      <w:r>
        <w:rPr>
          <w:rFonts w:hint="eastAsia" w:ascii="宋体" w:hAnsi="宋体" w:cs="宋体"/>
          <w:b/>
          <w:sz w:val="24"/>
        </w:rPr>
        <w:t>报名办法：</w:t>
      </w:r>
      <w:r>
        <w:rPr>
          <w:rFonts w:hint="eastAsia" w:ascii="宋体" w:hAnsi="宋体" w:cs="宋体"/>
          <w:bCs/>
          <w:sz w:val="24"/>
        </w:rPr>
        <w:t xml:space="preserve"> </w:t>
      </w:r>
      <w:r>
        <w:rPr>
          <w:rFonts w:hint="eastAsia" w:ascii="宋体" w:hAnsi="宋体"/>
          <w:color w:val="000000"/>
          <w:sz w:val="24"/>
        </w:rPr>
        <w:t>请符合报名条件的同学将《上海政法学院本科生修读微专业申请表》及本人成绩单纸质版提交至</w:t>
      </w:r>
      <w:r>
        <w:rPr>
          <w:rFonts w:hint="eastAsia" w:ascii="宋体" w:hAnsi="宋体"/>
          <w:color w:val="auto"/>
          <w:sz w:val="24"/>
          <w:highlight w:val="none"/>
          <w:lang w:val="en-US" w:eastAsia="zh-CN"/>
        </w:rPr>
        <w:t>刑事司法学院B3</w:t>
      </w:r>
      <w:r>
        <w:rPr>
          <w:rFonts w:hint="eastAsia" w:ascii="宋体" w:hAnsi="宋体"/>
          <w:color w:val="auto"/>
          <w:sz w:val="24"/>
          <w:highlight w:val="none"/>
        </w:rPr>
        <w:t>-</w:t>
      </w:r>
      <w:r>
        <w:rPr>
          <w:rFonts w:hint="eastAsia" w:ascii="宋体" w:hAnsi="宋体"/>
          <w:color w:val="auto"/>
          <w:sz w:val="24"/>
          <w:highlight w:val="none"/>
          <w:lang w:val="en-US" w:eastAsia="zh-CN"/>
        </w:rPr>
        <w:t>301</w:t>
      </w:r>
      <w:r>
        <w:rPr>
          <w:rFonts w:hint="eastAsia" w:ascii="宋体" w:hAnsi="宋体"/>
          <w:color w:val="auto"/>
          <w:sz w:val="24"/>
          <w:highlight w:val="none"/>
        </w:rPr>
        <w:t>，同时将电子版发送到karlmurray@</w:t>
      </w:r>
      <w:r>
        <w:rPr>
          <w:rFonts w:hint="eastAsia" w:ascii="宋体" w:hAnsi="宋体"/>
          <w:color w:val="auto"/>
          <w:sz w:val="24"/>
          <w:highlight w:val="none"/>
          <w:lang w:val="en-US" w:eastAsia="zh-CN"/>
        </w:rPr>
        <w:t>qq</w:t>
      </w:r>
      <w:r>
        <w:rPr>
          <w:rFonts w:hint="eastAsia" w:ascii="宋体" w:hAnsi="宋体"/>
          <w:color w:val="auto"/>
          <w:sz w:val="24"/>
          <w:highlight w:val="none"/>
        </w:rPr>
        <w:t>.com。</w:t>
      </w:r>
    </w:p>
    <w:p w14:paraId="6606936D">
      <w:pPr>
        <w:spacing w:line="360" w:lineRule="auto"/>
        <w:ind w:firstLine="482" w:firstLineChars="200"/>
        <w:rPr>
          <w:rFonts w:hint="eastAsia" w:ascii="宋体" w:hAnsi="宋体"/>
          <w:color w:val="4D4D4D"/>
          <w:sz w:val="24"/>
        </w:rPr>
      </w:pPr>
      <w:r>
        <w:rPr>
          <w:rFonts w:hint="eastAsia" w:ascii="宋体" w:hAnsi="宋体" w:cs="宋体"/>
          <w:b/>
          <w:sz w:val="24"/>
        </w:rPr>
        <w:t>咨询联系人：</w:t>
      </w:r>
      <w:r>
        <w:rPr>
          <w:rFonts w:hint="eastAsia" w:ascii="宋体" w:hAnsi="宋体" w:eastAsia="宋体" w:cs="Times New Roman"/>
          <w:color w:val="4D4D4D"/>
          <w:sz w:val="24"/>
          <w:lang w:val="en-US" w:eastAsia="zh-CN"/>
        </w:rPr>
        <w:t>王</w:t>
      </w:r>
      <w:r>
        <w:rPr>
          <w:rFonts w:hint="eastAsia" w:ascii="宋体" w:hAnsi="宋体"/>
          <w:color w:val="4D4D4D"/>
          <w:sz w:val="24"/>
        </w:rPr>
        <w:t>老师；联系方式：021-392271</w:t>
      </w:r>
      <w:r>
        <w:rPr>
          <w:rFonts w:hint="eastAsia" w:ascii="宋体" w:hAnsi="宋体"/>
          <w:color w:val="4D4D4D"/>
          <w:sz w:val="24"/>
          <w:lang w:val="en-US" w:eastAsia="zh-CN"/>
        </w:rPr>
        <w:t>74</w:t>
      </w:r>
      <w:r>
        <w:rPr>
          <w:rFonts w:hint="eastAsia" w:ascii="宋体" w:hAnsi="宋体"/>
          <w:color w:val="4D4D4D"/>
          <w:sz w:val="24"/>
        </w:rPr>
        <w:t>。</w:t>
      </w:r>
    </w:p>
    <w:sectPr>
      <w:headerReference r:id="rId3" w:type="default"/>
      <w:footerReference r:id="rId4" w:type="default"/>
      <w:pgSz w:w="11906" w:h="16838"/>
      <w:pgMar w:top="1440" w:right="1800" w:bottom="1440" w:left="1800"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300E32-2697-468C-BFF2-8EFB81FD53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鼎大标宋简">
    <w:altName w:val="宋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embedRegular r:id="rId2" w:fontKey="{85723ABA-A915-4E4E-9405-CA012FD4BAAD}"/>
  </w:font>
  <w:font w:name="方正小标宋简体">
    <w:panose1 w:val="03000509000000000000"/>
    <w:charset w:val="86"/>
    <w:family w:val="auto"/>
    <w:pitch w:val="default"/>
    <w:sig w:usb0="00000001" w:usb1="080E0000" w:usb2="00000000" w:usb3="00000000" w:csb0="00040000" w:csb1="00000000"/>
    <w:embedRegular r:id="rId3" w:fontKey="{611524FD-AEA8-45B8-B928-6501D89C3C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B971E">
    <w:pPr>
      <w:pStyle w:val="4"/>
      <w:jc w:val="center"/>
      <w:rPr>
        <w:rFonts w:hint="eastAsia" w:ascii="等线" w:hAnsi="等线" w:eastAsia="等线"/>
      </w:rPr>
    </w:pPr>
    <w:r>
      <w:rPr>
        <w:lang w:val="zh-CN"/>
      </w:rPr>
      <w:t xml:space="preserve"> </w:t>
    </w:r>
    <w:r>
      <w:rPr>
        <w:rFonts w:ascii="等线" w:hAnsi="等线" w:eastAsia="等线"/>
        <w:b/>
        <w:bCs/>
        <w:sz w:val="24"/>
        <w:szCs w:val="24"/>
      </w:rPr>
      <w:fldChar w:fldCharType="begin"/>
    </w:r>
    <w:r>
      <w:rPr>
        <w:rFonts w:ascii="等线" w:hAnsi="等线" w:eastAsia="等线"/>
        <w:b/>
        <w:bCs/>
      </w:rPr>
      <w:instrText xml:space="preserve">PAGE</w:instrText>
    </w:r>
    <w:r>
      <w:rPr>
        <w:rFonts w:ascii="等线" w:hAnsi="等线" w:eastAsia="等线"/>
        <w:b/>
        <w:bCs/>
        <w:sz w:val="24"/>
        <w:szCs w:val="24"/>
      </w:rPr>
      <w:fldChar w:fldCharType="separate"/>
    </w:r>
    <w:r>
      <w:rPr>
        <w:rFonts w:ascii="等线" w:hAnsi="等线" w:eastAsia="等线"/>
        <w:b/>
        <w:bCs/>
        <w:lang/>
      </w:rPr>
      <w:t>5</w:t>
    </w:r>
    <w:r>
      <w:rPr>
        <w:rFonts w:ascii="等线" w:hAnsi="等线" w:eastAsia="等线"/>
        <w:b/>
        <w:bCs/>
        <w:sz w:val="24"/>
        <w:szCs w:val="24"/>
      </w:rPr>
      <w:fldChar w:fldCharType="end"/>
    </w:r>
    <w:r>
      <w:rPr>
        <w:rFonts w:ascii="等线" w:hAnsi="等线" w:eastAsia="等线"/>
        <w:lang w:val="zh-CN"/>
      </w:rPr>
      <w:t xml:space="preserve"> / </w:t>
    </w:r>
    <w:r>
      <w:rPr>
        <w:rFonts w:ascii="等线" w:hAnsi="等线" w:eastAsia="等线"/>
        <w:b/>
        <w:bCs/>
        <w:sz w:val="24"/>
        <w:szCs w:val="24"/>
      </w:rPr>
      <w:fldChar w:fldCharType="begin"/>
    </w:r>
    <w:r>
      <w:rPr>
        <w:rFonts w:ascii="等线" w:hAnsi="等线" w:eastAsia="等线"/>
        <w:b/>
        <w:bCs/>
      </w:rPr>
      <w:instrText xml:space="preserve">NUMPAGES</w:instrText>
    </w:r>
    <w:r>
      <w:rPr>
        <w:rFonts w:ascii="等线" w:hAnsi="等线" w:eastAsia="等线"/>
        <w:b/>
        <w:bCs/>
        <w:sz w:val="24"/>
        <w:szCs w:val="24"/>
      </w:rPr>
      <w:fldChar w:fldCharType="separate"/>
    </w:r>
    <w:r>
      <w:rPr>
        <w:rFonts w:ascii="等线" w:hAnsi="等线" w:eastAsia="等线"/>
        <w:b/>
        <w:bCs/>
        <w:lang/>
      </w:rPr>
      <w:t>5</w:t>
    </w:r>
    <w:r>
      <w:rPr>
        <w:rFonts w:ascii="等线" w:hAnsi="等线" w:eastAsia="等线"/>
        <w:b/>
        <w:bCs/>
        <w:sz w:val="24"/>
        <w:szCs w:val="24"/>
      </w:rPr>
      <w:fldChar w:fldCharType="end"/>
    </w:r>
  </w:p>
  <w:p w14:paraId="0CA6B55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CD1F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E3B56"/>
    <w:multiLevelType w:val="multilevel"/>
    <w:tmpl w:val="5CFE3B56"/>
    <w:lvl w:ilvl="0" w:tentative="0">
      <w:start w:val="1"/>
      <w:numFmt w:val="japaneseCounting"/>
      <w:lvlText w:val="（%1）"/>
      <w:lvlJc w:val="left"/>
      <w:pPr>
        <w:ind w:left="1225" w:hanging="743"/>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1">
    <w:nsid w:val="6C122A4F"/>
    <w:multiLevelType w:val="multilevel"/>
    <w:tmpl w:val="6C122A4F"/>
    <w:lvl w:ilvl="0" w:tentative="0">
      <w:start w:val="1"/>
      <w:numFmt w:val="decimal"/>
      <w:lvlText w:val="%1."/>
      <w:lvlJc w:val="left"/>
      <w:pPr>
        <w:ind w:left="827" w:hanging="405"/>
      </w:pPr>
      <w:rPr>
        <w:rFonts w:hint="default" w:ascii="宋体" w:hAnsi="宋体" w:eastAsia="宋体"/>
        <w:sz w:val="28"/>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3OGNlYzQzZDU3MTczYmFjNTQzZmFiNjBiZTMxNGEifQ=="/>
  </w:docVars>
  <w:rsids>
    <w:rsidRoot w:val="00AF1D9D"/>
    <w:rsid w:val="0002375A"/>
    <w:rsid w:val="0002672E"/>
    <w:rsid w:val="0004796E"/>
    <w:rsid w:val="0005571E"/>
    <w:rsid w:val="000601A2"/>
    <w:rsid w:val="000631FF"/>
    <w:rsid w:val="0008460C"/>
    <w:rsid w:val="000A69C3"/>
    <w:rsid w:val="000B3FDF"/>
    <w:rsid w:val="000B55B0"/>
    <w:rsid w:val="000D592E"/>
    <w:rsid w:val="000E7AEA"/>
    <w:rsid w:val="000F0179"/>
    <w:rsid w:val="000F2200"/>
    <w:rsid w:val="000F593E"/>
    <w:rsid w:val="001115D3"/>
    <w:rsid w:val="001304D7"/>
    <w:rsid w:val="001376CF"/>
    <w:rsid w:val="001377DF"/>
    <w:rsid w:val="00164148"/>
    <w:rsid w:val="001641CB"/>
    <w:rsid w:val="001800D8"/>
    <w:rsid w:val="00181CE0"/>
    <w:rsid w:val="00183EBC"/>
    <w:rsid w:val="001969A7"/>
    <w:rsid w:val="001A546D"/>
    <w:rsid w:val="001A63BC"/>
    <w:rsid w:val="001B1006"/>
    <w:rsid w:val="001D1DDC"/>
    <w:rsid w:val="001D471C"/>
    <w:rsid w:val="001F0536"/>
    <w:rsid w:val="001F054A"/>
    <w:rsid w:val="001F58C2"/>
    <w:rsid w:val="002004C1"/>
    <w:rsid w:val="00211593"/>
    <w:rsid w:val="00213262"/>
    <w:rsid w:val="00225B1C"/>
    <w:rsid w:val="0023315C"/>
    <w:rsid w:val="0023562D"/>
    <w:rsid w:val="002409CB"/>
    <w:rsid w:val="00246977"/>
    <w:rsid w:val="002720DC"/>
    <w:rsid w:val="00274C56"/>
    <w:rsid w:val="00286EF2"/>
    <w:rsid w:val="00296980"/>
    <w:rsid w:val="002B59DD"/>
    <w:rsid w:val="002C13EB"/>
    <w:rsid w:val="002D1D61"/>
    <w:rsid w:val="002D2BD0"/>
    <w:rsid w:val="002D71CD"/>
    <w:rsid w:val="002E1BE0"/>
    <w:rsid w:val="002E5B4D"/>
    <w:rsid w:val="002F23C3"/>
    <w:rsid w:val="002F3E7C"/>
    <w:rsid w:val="003049D9"/>
    <w:rsid w:val="00307BC1"/>
    <w:rsid w:val="00310140"/>
    <w:rsid w:val="0031106C"/>
    <w:rsid w:val="00333571"/>
    <w:rsid w:val="00350CD1"/>
    <w:rsid w:val="0035100F"/>
    <w:rsid w:val="003533D2"/>
    <w:rsid w:val="00364B96"/>
    <w:rsid w:val="00371341"/>
    <w:rsid w:val="003915D3"/>
    <w:rsid w:val="003A661C"/>
    <w:rsid w:val="003A7041"/>
    <w:rsid w:val="003B6511"/>
    <w:rsid w:val="003B729E"/>
    <w:rsid w:val="003C0C9D"/>
    <w:rsid w:val="003C3857"/>
    <w:rsid w:val="003C6049"/>
    <w:rsid w:val="003E11C3"/>
    <w:rsid w:val="003E6541"/>
    <w:rsid w:val="004058C3"/>
    <w:rsid w:val="004145DC"/>
    <w:rsid w:val="00415C9F"/>
    <w:rsid w:val="004238F8"/>
    <w:rsid w:val="004302EC"/>
    <w:rsid w:val="00431314"/>
    <w:rsid w:val="0043538E"/>
    <w:rsid w:val="00437A9C"/>
    <w:rsid w:val="00441F3C"/>
    <w:rsid w:val="00454583"/>
    <w:rsid w:val="0045675D"/>
    <w:rsid w:val="00465827"/>
    <w:rsid w:val="00473D0B"/>
    <w:rsid w:val="00475173"/>
    <w:rsid w:val="00482506"/>
    <w:rsid w:val="00497853"/>
    <w:rsid w:val="004A215C"/>
    <w:rsid w:val="004B56BD"/>
    <w:rsid w:val="004C1DBB"/>
    <w:rsid w:val="004C3C99"/>
    <w:rsid w:val="004D172A"/>
    <w:rsid w:val="004F7D8E"/>
    <w:rsid w:val="0050291F"/>
    <w:rsid w:val="0050382C"/>
    <w:rsid w:val="00516323"/>
    <w:rsid w:val="00516FC7"/>
    <w:rsid w:val="00521676"/>
    <w:rsid w:val="005409F5"/>
    <w:rsid w:val="0055056C"/>
    <w:rsid w:val="00551C38"/>
    <w:rsid w:val="0055770A"/>
    <w:rsid w:val="00565FC4"/>
    <w:rsid w:val="00570CA0"/>
    <w:rsid w:val="005719F5"/>
    <w:rsid w:val="00577C5F"/>
    <w:rsid w:val="00577CBA"/>
    <w:rsid w:val="00591002"/>
    <w:rsid w:val="00592C2C"/>
    <w:rsid w:val="005B50A6"/>
    <w:rsid w:val="005C2D63"/>
    <w:rsid w:val="005D51EC"/>
    <w:rsid w:val="005D62E2"/>
    <w:rsid w:val="005D6753"/>
    <w:rsid w:val="005E0721"/>
    <w:rsid w:val="005F3850"/>
    <w:rsid w:val="006122F3"/>
    <w:rsid w:val="0062029F"/>
    <w:rsid w:val="00624B51"/>
    <w:rsid w:val="00627005"/>
    <w:rsid w:val="0063293E"/>
    <w:rsid w:val="00634216"/>
    <w:rsid w:val="00646FFE"/>
    <w:rsid w:val="006515DC"/>
    <w:rsid w:val="00655E3B"/>
    <w:rsid w:val="00657C59"/>
    <w:rsid w:val="00663757"/>
    <w:rsid w:val="00685911"/>
    <w:rsid w:val="00686627"/>
    <w:rsid w:val="006D18B1"/>
    <w:rsid w:val="006E03A4"/>
    <w:rsid w:val="006F3037"/>
    <w:rsid w:val="00705068"/>
    <w:rsid w:val="00705540"/>
    <w:rsid w:val="007312C2"/>
    <w:rsid w:val="00734506"/>
    <w:rsid w:val="00737083"/>
    <w:rsid w:val="00747C6E"/>
    <w:rsid w:val="0075630F"/>
    <w:rsid w:val="007603F3"/>
    <w:rsid w:val="00763967"/>
    <w:rsid w:val="007A03E9"/>
    <w:rsid w:val="007A1CA8"/>
    <w:rsid w:val="007A74ED"/>
    <w:rsid w:val="007B114F"/>
    <w:rsid w:val="007B634C"/>
    <w:rsid w:val="007B7ABA"/>
    <w:rsid w:val="007C07AF"/>
    <w:rsid w:val="007E0EF9"/>
    <w:rsid w:val="007F4A24"/>
    <w:rsid w:val="007F4A7E"/>
    <w:rsid w:val="00800C9F"/>
    <w:rsid w:val="00803460"/>
    <w:rsid w:val="00804AE3"/>
    <w:rsid w:val="00832DD8"/>
    <w:rsid w:val="00833C76"/>
    <w:rsid w:val="00840645"/>
    <w:rsid w:val="00847C72"/>
    <w:rsid w:val="00855D5C"/>
    <w:rsid w:val="00862C99"/>
    <w:rsid w:val="008705E1"/>
    <w:rsid w:val="00871A0B"/>
    <w:rsid w:val="008805CF"/>
    <w:rsid w:val="00882736"/>
    <w:rsid w:val="00884DD7"/>
    <w:rsid w:val="00893949"/>
    <w:rsid w:val="008A0926"/>
    <w:rsid w:val="008A140E"/>
    <w:rsid w:val="008C00F8"/>
    <w:rsid w:val="008C61EE"/>
    <w:rsid w:val="008D5950"/>
    <w:rsid w:val="008F6D44"/>
    <w:rsid w:val="00906C4C"/>
    <w:rsid w:val="00907DAC"/>
    <w:rsid w:val="00912C3E"/>
    <w:rsid w:val="00926FC6"/>
    <w:rsid w:val="00945FD5"/>
    <w:rsid w:val="0096249C"/>
    <w:rsid w:val="00984980"/>
    <w:rsid w:val="0099795F"/>
    <w:rsid w:val="009A6613"/>
    <w:rsid w:val="009C5CB7"/>
    <w:rsid w:val="009D7940"/>
    <w:rsid w:val="009E55E1"/>
    <w:rsid w:val="009E70C4"/>
    <w:rsid w:val="009F2292"/>
    <w:rsid w:val="00A024BC"/>
    <w:rsid w:val="00A3097C"/>
    <w:rsid w:val="00A5046B"/>
    <w:rsid w:val="00A60B90"/>
    <w:rsid w:val="00A72007"/>
    <w:rsid w:val="00A94294"/>
    <w:rsid w:val="00A96902"/>
    <w:rsid w:val="00AA5511"/>
    <w:rsid w:val="00AA7C12"/>
    <w:rsid w:val="00AB6C29"/>
    <w:rsid w:val="00AB7F19"/>
    <w:rsid w:val="00AC07FB"/>
    <w:rsid w:val="00AC1BA1"/>
    <w:rsid w:val="00AC77F0"/>
    <w:rsid w:val="00AC7D1B"/>
    <w:rsid w:val="00AD69F7"/>
    <w:rsid w:val="00AF1D9D"/>
    <w:rsid w:val="00AF1F5C"/>
    <w:rsid w:val="00B100DC"/>
    <w:rsid w:val="00B273D3"/>
    <w:rsid w:val="00B36908"/>
    <w:rsid w:val="00B369EE"/>
    <w:rsid w:val="00B4072B"/>
    <w:rsid w:val="00B44CE0"/>
    <w:rsid w:val="00B506BF"/>
    <w:rsid w:val="00B56DD1"/>
    <w:rsid w:val="00B76301"/>
    <w:rsid w:val="00B8601E"/>
    <w:rsid w:val="00B92E1C"/>
    <w:rsid w:val="00BA006C"/>
    <w:rsid w:val="00BA6D9F"/>
    <w:rsid w:val="00BB3F6E"/>
    <w:rsid w:val="00BC09A4"/>
    <w:rsid w:val="00BD34E9"/>
    <w:rsid w:val="00BD42B1"/>
    <w:rsid w:val="00BF6987"/>
    <w:rsid w:val="00C273B0"/>
    <w:rsid w:val="00C41EB1"/>
    <w:rsid w:val="00C428C7"/>
    <w:rsid w:val="00C46E22"/>
    <w:rsid w:val="00C479A1"/>
    <w:rsid w:val="00C53D28"/>
    <w:rsid w:val="00C64EC6"/>
    <w:rsid w:val="00C75D7B"/>
    <w:rsid w:val="00C83559"/>
    <w:rsid w:val="00C87DD0"/>
    <w:rsid w:val="00C92C8C"/>
    <w:rsid w:val="00C93C91"/>
    <w:rsid w:val="00C93FCA"/>
    <w:rsid w:val="00C973E2"/>
    <w:rsid w:val="00CA5B38"/>
    <w:rsid w:val="00CB24E7"/>
    <w:rsid w:val="00CB58E2"/>
    <w:rsid w:val="00CC1B46"/>
    <w:rsid w:val="00CC370E"/>
    <w:rsid w:val="00CD44E5"/>
    <w:rsid w:val="00CF5EAE"/>
    <w:rsid w:val="00D03666"/>
    <w:rsid w:val="00D06370"/>
    <w:rsid w:val="00D10D24"/>
    <w:rsid w:val="00D13CA6"/>
    <w:rsid w:val="00D1459F"/>
    <w:rsid w:val="00D334F9"/>
    <w:rsid w:val="00D35FF2"/>
    <w:rsid w:val="00D43628"/>
    <w:rsid w:val="00D43816"/>
    <w:rsid w:val="00D50298"/>
    <w:rsid w:val="00D551EE"/>
    <w:rsid w:val="00D55990"/>
    <w:rsid w:val="00D647AF"/>
    <w:rsid w:val="00D7683A"/>
    <w:rsid w:val="00D92715"/>
    <w:rsid w:val="00DA0660"/>
    <w:rsid w:val="00DA5EF7"/>
    <w:rsid w:val="00DC0F8D"/>
    <w:rsid w:val="00DF4D4A"/>
    <w:rsid w:val="00E0428D"/>
    <w:rsid w:val="00E04626"/>
    <w:rsid w:val="00E13509"/>
    <w:rsid w:val="00E135D5"/>
    <w:rsid w:val="00E22A2F"/>
    <w:rsid w:val="00E46CEC"/>
    <w:rsid w:val="00E46FCE"/>
    <w:rsid w:val="00E475F9"/>
    <w:rsid w:val="00E50786"/>
    <w:rsid w:val="00E55A82"/>
    <w:rsid w:val="00E63EC0"/>
    <w:rsid w:val="00E76903"/>
    <w:rsid w:val="00E92B8B"/>
    <w:rsid w:val="00EA652C"/>
    <w:rsid w:val="00EC39DF"/>
    <w:rsid w:val="00EC3ECA"/>
    <w:rsid w:val="00F03011"/>
    <w:rsid w:val="00F03F00"/>
    <w:rsid w:val="00F10FF3"/>
    <w:rsid w:val="00F11CE9"/>
    <w:rsid w:val="00F14544"/>
    <w:rsid w:val="00F1582E"/>
    <w:rsid w:val="00F16E31"/>
    <w:rsid w:val="00F24DBB"/>
    <w:rsid w:val="00F34D4B"/>
    <w:rsid w:val="00F42B1C"/>
    <w:rsid w:val="00F51264"/>
    <w:rsid w:val="00F5162D"/>
    <w:rsid w:val="00F61965"/>
    <w:rsid w:val="00F662E2"/>
    <w:rsid w:val="00F75EE1"/>
    <w:rsid w:val="00FA1B31"/>
    <w:rsid w:val="00FA1F7E"/>
    <w:rsid w:val="00FA21F5"/>
    <w:rsid w:val="00FC0965"/>
    <w:rsid w:val="00FD573B"/>
    <w:rsid w:val="00FE2D70"/>
    <w:rsid w:val="00FE75CB"/>
    <w:rsid w:val="00FF0220"/>
    <w:rsid w:val="00FF4E15"/>
    <w:rsid w:val="013A432D"/>
    <w:rsid w:val="05056D9E"/>
    <w:rsid w:val="053B72E5"/>
    <w:rsid w:val="06FC2DC7"/>
    <w:rsid w:val="0735266F"/>
    <w:rsid w:val="09B671FF"/>
    <w:rsid w:val="09C80DD7"/>
    <w:rsid w:val="0A0010F3"/>
    <w:rsid w:val="0AD876A7"/>
    <w:rsid w:val="0D333F71"/>
    <w:rsid w:val="0F002141"/>
    <w:rsid w:val="0F711E78"/>
    <w:rsid w:val="12D06EB6"/>
    <w:rsid w:val="136F1B14"/>
    <w:rsid w:val="14042DB7"/>
    <w:rsid w:val="1B300E3A"/>
    <w:rsid w:val="1B7B6B32"/>
    <w:rsid w:val="1DCC523A"/>
    <w:rsid w:val="24886640"/>
    <w:rsid w:val="259252F9"/>
    <w:rsid w:val="25A466AC"/>
    <w:rsid w:val="27320E1F"/>
    <w:rsid w:val="27893DAB"/>
    <w:rsid w:val="279A7D67"/>
    <w:rsid w:val="34BC6025"/>
    <w:rsid w:val="3DB9233A"/>
    <w:rsid w:val="3F075E88"/>
    <w:rsid w:val="44EA0D17"/>
    <w:rsid w:val="460F1534"/>
    <w:rsid w:val="47766B3E"/>
    <w:rsid w:val="47DE7578"/>
    <w:rsid w:val="4BC34FD5"/>
    <w:rsid w:val="4DE029A0"/>
    <w:rsid w:val="50C4458C"/>
    <w:rsid w:val="528F7191"/>
    <w:rsid w:val="55374A9F"/>
    <w:rsid w:val="581D5CC6"/>
    <w:rsid w:val="58853770"/>
    <w:rsid w:val="5A242DA4"/>
    <w:rsid w:val="5ABD109B"/>
    <w:rsid w:val="5B0942E0"/>
    <w:rsid w:val="5FC058B5"/>
    <w:rsid w:val="63065CD5"/>
    <w:rsid w:val="6612673F"/>
    <w:rsid w:val="6A9C6F1F"/>
    <w:rsid w:val="6B2A452A"/>
    <w:rsid w:val="6E8201DA"/>
    <w:rsid w:val="728054B4"/>
    <w:rsid w:val="786E19EA"/>
    <w:rsid w:val="798160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Date"/>
    <w:basedOn w:val="1"/>
    <w:next w:val="1"/>
    <w:link w:val="11"/>
    <w:uiPriority w:val="0"/>
    <w:pPr>
      <w:ind w:left="100" w:leftChars="2500"/>
    </w:pPr>
  </w:style>
  <w:style w:type="paragraph" w:styleId="3">
    <w:name w:val="Balloon Text"/>
    <w:basedOn w:val="1"/>
    <w:link w:val="12"/>
    <w:uiPriority w:val="0"/>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styleId="10">
    <w:name w:val="page number"/>
    <w:uiPriority w:val="0"/>
  </w:style>
  <w:style w:type="character" w:customStyle="1" w:styleId="11">
    <w:name w:val="日期 Char"/>
    <w:link w:val="2"/>
    <w:uiPriority w:val="0"/>
    <w:rPr>
      <w:kern w:val="2"/>
      <w:sz w:val="21"/>
      <w:szCs w:val="24"/>
    </w:rPr>
  </w:style>
  <w:style w:type="character" w:customStyle="1" w:styleId="12">
    <w:name w:val="批注框文本 Char"/>
    <w:link w:val="3"/>
    <w:uiPriority w:val="0"/>
    <w:rPr>
      <w:kern w:val="2"/>
      <w:sz w:val="18"/>
      <w:szCs w:val="18"/>
    </w:rPr>
  </w:style>
  <w:style w:type="character" w:customStyle="1" w:styleId="13">
    <w:name w:val="页脚 Char"/>
    <w:link w:val="4"/>
    <w:uiPriority w:val="99"/>
    <w:rPr>
      <w:kern w:val="2"/>
      <w:sz w:val="18"/>
      <w:szCs w:val="18"/>
    </w:rPr>
  </w:style>
  <w:style w:type="character" w:customStyle="1" w:styleId="14">
    <w:name w:val="页眉 Char"/>
    <w:link w:val="5"/>
    <w:uiPriority w:val="99"/>
    <w:rPr>
      <w:kern w:val="2"/>
      <w:sz w:val="18"/>
      <w:szCs w:val="18"/>
    </w:rPr>
  </w:style>
  <w:style w:type="paragraph" w:customStyle="1" w:styleId="15">
    <w:name w:val="大标题"/>
    <w:basedOn w:val="1"/>
    <w:uiPriority w:val="0"/>
    <w:pPr>
      <w:adjustRightInd w:val="0"/>
      <w:spacing w:before="2840" w:line="320" w:lineRule="atLeast"/>
      <w:jc w:val="center"/>
      <w:textAlignment w:val="bottom"/>
    </w:pPr>
    <w:rPr>
      <w:rFonts w:eastAsia="文鼎大标宋简"/>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2885</Words>
  <Characters>2951</Characters>
  <Lines>22</Lines>
  <Paragraphs>6</Paragraphs>
  <TotalTime>1</TotalTime>
  <ScaleCrop>false</ScaleCrop>
  <LinksUpToDate>false</LinksUpToDate>
  <CharactersWithSpaces>3048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2023-03-13T08:15:00Z</dcterms:created>
  <dc:creator>zgirlj</dc:creator>
  <cp:lastModifiedBy>岸</cp:lastModifiedBy>
  <cp:lastPrinted>2018-05-14T09:13:00Z</cp:lastPrinted>
  <dcterms:modified xsi:type="dcterms:W3CDTF">2026-04-28T06:31:11Z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62072AD02EBE41258177A772307245C3_13</vt:lpwstr>
  </property>
  <property fmtid="{D5CDD505-2E9C-101B-9397-08002B2CF9AE}" pid="4" name="KSOTemplateDocerSaveRecord">
    <vt:lpwstr>eyJoZGlkIjoiYjMwNmU2MWIyN2NiYzE5YzU4ODFmYTdjODliZDVhOGMiLCJ1c2VySWQiOiI1NTM3ODc4NjkifQ==</vt:lpwstr>
  </property>
</Properties>
</file>