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763" w:rsidRDefault="00B81D1F">
      <w:pPr>
        <w:spacing w:line="360" w:lineRule="auto"/>
        <w:jc w:val="center"/>
        <w:rPr>
          <w:rStyle w:val="aa"/>
          <w:rFonts w:ascii="宋体" w:eastAsia="宋体" w:hAnsi="宋体"/>
          <w:color w:val="000000"/>
          <w:sz w:val="24"/>
          <w:szCs w:val="24"/>
        </w:rPr>
      </w:pPr>
      <w:r>
        <w:rPr>
          <w:rStyle w:val="aa"/>
          <w:rFonts w:ascii="方正小标宋简体" w:eastAsia="方正小标宋简体" w:hAnsi="方正小标宋简体" w:hint="eastAsia"/>
          <w:bCs w:val="0"/>
          <w:color w:val="000000"/>
          <w:sz w:val="32"/>
          <w:szCs w:val="32"/>
        </w:rPr>
        <w:t>“跨境法律实务技能</w:t>
      </w:r>
      <w:r>
        <w:rPr>
          <w:rStyle w:val="aa"/>
          <w:rFonts w:ascii="方正小标宋简体" w:eastAsia="方正小标宋简体" w:hAnsi="方正小标宋简体" w:hint="eastAsia"/>
          <w:b w:val="0"/>
          <w:color w:val="000000"/>
          <w:sz w:val="32"/>
          <w:szCs w:val="32"/>
        </w:rPr>
        <w:t>”微专业招生简章</w:t>
      </w:r>
    </w:p>
    <w:p w:rsidR="00287763" w:rsidRDefault="00287763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/>
          <w:sz w:val="24"/>
          <w:szCs w:val="24"/>
        </w:rPr>
      </w:pPr>
    </w:p>
    <w:p w:rsidR="00287763" w:rsidRDefault="00B81D1F">
      <w:pPr>
        <w:spacing w:line="360" w:lineRule="auto"/>
        <w:ind w:firstLineChars="200" w:firstLine="480"/>
        <w:rPr>
          <w:rFonts w:ascii="宋体" w:eastAsia="宋体" w:hAnsi="宋体"/>
          <w:color w:val="4D4D4D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一、微专业简介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“跨境法律实务技能”微专业紧密围绕学校综合改革方案（上合组织领域为特⾊的涉外法治⼈才培养改革；新型城市治理法治⼈才培养改革；基层治理现代化法治⼈才培养改革）与两大发展主线（涉外法治⼈才培养的主体学院；急需学科区域国别学建设发展），依托上合基地平台资源，着力发挥语言文化学院外语学科特色，依托上海政法学院法学学科优势，紧扣全球化背景下我国涉外法律人才市场需求，遵循“高聚焦、强实务、跨融合”的建设原则设立本特色微专业。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专业以“夯实涉外法律基础、强化实务操作能力、培养跨文化适配素养”为核心，整合《涉外争议解决实务》《跨境合规法律实务》《涉外法律翻译综合实训》《跨文化法律沟通》四门核心课程，构建“争议解决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合规管理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语言工具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沟通素养”的四位一体课程体系。课程设置摒弃纯理论灌输，聚焦跨境贸易、投资等高频实务场景，通过案例研讨、模拟实操、情景演练等多样化教学形式，培养学生在涉外法律场景中的实战能力，为学生未来从事涉外律师、企业合规专员、跨境法律事务顾问等职业奠定坚实基础，助力解决我国涉外法律人才供给不足的现实问题。</w:t>
      </w:r>
    </w:p>
    <w:p w:rsidR="00287763" w:rsidRDefault="00B81D1F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二、培养</w:t>
      </w: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目标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本微专业致力于</w:t>
      </w:r>
      <w:r>
        <w:rPr>
          <w:rFonts w:ascii="宋体" w:eastAsia="宋体" w:hAnsi="宋体" w:hint="eastAsia"/>
          <w:sz w:val="24"/>
          <w:szCs w:val="24"/>
        </w:rPr>
        <w:t>培养具备国际化视野、扎实法律功底、熟练双语能力、较强实务操作能力的复合型涉外法律人才，聚焦涉外争议解决、跨境合规等细分实务领域，打造“实务导向、校企协同、跨学科融合”的鲜明特色</w:t>
      </w:r>
      <w:r>
        <w:rPr>
          <w:rFonts w:ascii="宋体" w:eastAsia="宋体" w:hAnsi="宋体"/>
          <w:sz w:val="24"/>
          <w:szCs w:val="24"/>
        </w:rPr>
        <w:t>。本</w:t>
      </w:r>
      <w:r>
        <w:rPr>
          <w:rFonts w:ascii="宋体" w:eastAsia="宋体" w:hAnsi="宋体" w:hint="eastAsia"/>
          <w:sz w:val="24"/>
          <w:szCs w:val="24"/>
        </w:rPr>
        <w:t>微</w:t>
      </w:r>
      <w:r>
        <w:rPr>
          <w:rFonts w:ascii="宋体" w:eastAsia="宋体" w:hAnsi="宋体"/>
          <w:sz w:val="24"/>
          <w:szCs w:val="24"/>
        </w:rPr>
        <w:t>专业</w:t>
      </w:r>
      <w:r>
        <w:rPr>
          <w:rFonts w:ascii="宋体" w:eastAsia="宋体" w:hAnsi="宋体" w:hint="eastAsia"/>
          <w:sz w:val="24"/>
          <w:szCs w:val="24"/>
        </w:rPr>
        <w:t>的具体目标如下</w:t>
      </w:r>
      <w:r>
        <w:rPr>
          <w:rFonts w:ascii="宋体" w:eastAsia="宋体" w:hAnsi="宋体"/>
          <w:sz w:val="24"/>
          <w:szCs w:val="24"/>
        </w:rPr>
        <w:t>：</w:t>
      </w:r>
    </w:p>
    <w:p w:rsidR="00287763" w:rsidRDefault="00B81D1F">
      <w:pPr>
        <w:spacing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sz w:val="24"/>
          <w:szCs w:val="24"/>
        </w:rPr>
        <w:t>知识目标</w:t>
      </w:r>
    </w:p>
    <w:p w:rsidR="00287763" w:rsidRDefault="00B81D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掌握涉外争议解决的核心流程与规则，包括国际仲裁、跨境诉讼、调解等多元争议解决方式的适用场景与操作要点；</w:t>
      </w:r>
    </w:p>
    <w:p w:rsidR="00287763" w:rsidRDefault="00B81D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理解跨境合规的核心领域法律要求，涵盖数据安全、反商业贿赂、出口管制、涉外知识产权保护等关键合规事项的法律框架；</w:t>
      </w:r>
    </w:p>
    <w:p w:rsidR="00287763" w:rsidRDefault="00B81D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熟练运用涉外法律翻译技巧，精准处理法律文书、合同、法规等专业文本的双语转换，掌握法律术语的中英文对应与适配表达；</w:t>
      </w:r>
    </w:p>
    <w:p w:rsidR="00287763" w:rsidRDefault="00B81D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知晓跨文化法律沟通的核心理论与实务规范，了解不同法系、不同国家（地区）的法律文化特征及对法律实务的影响。</w:t>
      </w:r>
    </w:p>
    <w:p w:rsidR="00287763" w:rsidRDefault="00B81D1F">
      <w:pPr>
        <w:spacing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2.</w:t>
      </w:r>
      <w:r>
        <w:rPr>
          <w:rFonts w:ascii="宋体" w:eastAsia="宋体" w:hAnsi="宋体" w:cs="宋体" w:hint="eastAsia"/>
          <w:b/>
          <w:sz w:val="24"/>
          <w:szCs w:val="24"/>
        </w:rPr>
        <w:t>能力目标</w:t>
      </w:r>
    </w:p>
    <w:p w:rsidR="00287763" w:rsidRDefault="00B81D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具备独立处理简单涉外争议的能力，能参与跨境争议的证据收集、策略制定、文书撰写及庭审</w:t>
      </w:r>
      <w:r>
        <w:rPr>
          <w:rFonts w:ascii="宋体" w:eastAsia="宋体" w:hAnsi="宋体" w:cs="宋体" w:hint="eastAsia"/>
          <w:bCs/>
          <w:sz w:val="24"/>
          <w:szCs w:val="24"/>
        </w:rPr>
        <w:t>/</w:t>
      </w:r>
      <w:r>
        <w:rPr>
          <w:rFonts w:ascii="宋体" w:eastAsia="宋体" w:hAnsi="宋体" w:cs="宋体" w:hint="eastAsia"/>
          <w:bCs/>
          <w:sz w:val="24"/>
          <w:szCs w:val="24"/>
        </w:rPr>
        <w:t>仲裁辅助工作；</w:t>
      </w:r>
    </w:p>
    <w:p w:rsidR="00287763" w:rsidRDefault="00B81D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能协助企业开展跨境合规风险识别、评估与应对，起草基础合规文件，参与合规审查与培训支持；</w:t>
      </w:r>
    </w:p>
    <w:p w:rsidR="00287763" w:rsidRDefault="00B81D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具备高质量的涉外法律翻译与双语沟通能力，能精准完成法律文本翻译、口头法律沟通等任务；</w:t>
      </w:r>
    </w:p>
    <w:p w:rsidR="00287763" w:rsidRDefault="00B81D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掌握</w:t>
      </w:r>
      <w:r>
        <w:rPr>
          <w:rFonts w:ascii="宋体" w:eastAsia="宋体" w:hAnsi="宋体" w:cs="宋体" w:hint="eastAsia"/>
          <w:bCs/>
          <w:sz w:val="24"/>
          <w:szCs w:val="24"/>
        </w:rPr>
        <w:t>跨文化法律沟通技巧，能在涉外法律实务中识别文化差异、化解沟通冲突，适配不同场景的沟通需求。</w:t>
      </w:r>
    </w:p>
    <w:p w:rsidR="00287763" w:rsidRDefault="00B81D1F">
      <w:pPr>
        <w:spacing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3.</w:t>
      </w:r>
      <w:r>
        <w:rPr>
          <w:rFonts w:ascii="宋体" w:eastAsia="宋体" w:hAnsi="宋体" w:cs="宋体" w:hint="eastAsia"/>
          <w:b/>
          <w:sz w:val="24"/>
          <w:szCs w:val="24"/>
        </w:rPr>
        <w:t>素养目标</w:t>
      </w:r>
    </w:p>
    <w:p w:rsidR="00287763" w:rsidRDefault="00B81D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树立坚定的法治信仰与国际视野，恪守涉外法律实务中的职业伦理与诚信准则，具备高度的法律责任感；</w:t>
      </w:r>
    </w:p>
    <w:p w:rsidR="00287763" w:rsidRDefault="00B81D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培养跨文化包容与尊重意识，形成严谨细致、务实高效的职业作风，适应全球化法律实务工作的多元需求；</w:t>
      </w:r>
    </w:p>
    <w:p w:rsidR="00287763" w:rsidRDefault="00B81D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具备持续学习能力与创新思维，能主动关注涉外法律领域的最新动态与发展趋势，不断提升专业素养。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综上所述，</w:t>
      </w:r>
      <w:r>
        <w:rPr>
          <w:rFonts w:ascii="宋体" w:eastAsia="宋体" w:hAnsi="宋体" w:hint="eastAsia"/>
          <w:sz w:val="24"/>
          <w:szCs w:val="24"/>
        </w:rPr>
        <w:t>本</w:t>
      </w:r>
      <w:r>
        <w:rPr>
          <w:rFonts w:ascii="宋体" w:eastAsia="宋体" w:hAnsi="宋体"/>
          <w:sz w:val="24"/>
          <w:szCs w:val="24"/>
        </w:rPr>
        <w:t>微专业不仅为学生提供了丰富的学术资源和实践机会，更着眼于其未来职业生涯的发展，力求培养出能够</w:t>
      </w:r>
      <w:r>
        <w:rPr>
          <w:rFonts w:ascii="宋体" w:eastAsia="宋体" w:hAnsi="宋体" w:hint="eastAsia"/>
          <w:sz w:val="24"/>
          <w:szCs w:val="24"/>
        </w:rPr>
        <w:t>服务国家战略和上海涉</w:t>
      </w:r>
      <w:r>
        <w:rPr>
          <w:rFonts w:ascii="宋体" w:eastAsia="宋体" w:hAnsi="宋体" w:hint="eastAsia"/>
          <w:sz w:val="24"/>
          <w:szCs w:val="24"/>
        </w:rPr>
        <w:t>外法治建设与发展的高端复合型人才</w:t>
      </w:r>
      <w:r>
        <w:rPr>
          <w:rFonts w:ascii="宋体" w:eastAsia="宋体" w:hAnsi="宋体"/>
          <w:sz w:val="24"/>
          <w:szCs w:val="24"/>
        </w:rPr>
        <w:t>。</w:t>
      </w:r>
    </w:p>
    <w:p w:rsidR="00287763" w:rsidRDefault="00B81D1F" w:rsidP="00222ECB">
      <w:pPr>
        <w:spacing w:beforeLines="50" w:afterLines="50" w:line="360" w:lineRule="auto"/>
        <w:ind w:left="562"/>
        <w:rPr>
          <w:rFonts w:ascii="宋体" w:eastAsia="黑体" w:hAnsi="宋体"/>
          <w:b/>
          <w:sz w:val="28"/>
          <w:szCs w:val="28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三、招生对象、报名条件及招生规模</w:t>
      </w:r>
    </w:p>
    <w:p w:rsidR="00287763" w:rsidRDefault="00B81D1F">
      <w:pPr>
        <w:spacing w:line="360" w:lineRule="auto"/>
        <w:ind w:firstLineChars="200" w:firstLine="482"/>
        <w:rPr>
          <w:rFonts w:ascii="宋体" w:eastAsia="宋体" w:hAnsi="宋体"/>
          <w:b/>
          <w:color w:val="4D4D4D"/>
          <w:sz w:val="24"/>
          <w:szCs w:val="24"/>
        </w:rPr>
      </w:pPr>
      <w:r>
        <w:rPr>
          <w:rFonts w:ascii="宋体" w:eastAsia="宋体" w:hAnsi="宋体" w:hint="eastAsia"/>
          <w:b/>
          <w:color w:val="4D4D4D"/>
          <w:sz w:val="24"/>
          <w:szCs w:val="24"/>
        </w:rPr>
        <w:t>（一）招生对象</w:t>
      </w:r>
    </w:p>
    <w:p w:rsidR="00287763" w:rsidRDefault="00B81D1F">
      <w:pPr>
        <w:spacing w:line="360" w:lineRule="auto"/>
        <w:ind w:firstLineChars="200" w:firstLine="480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color w:val="4D4D4D"/>
          <w:sz w:val="24"/>
          <w:szCs w:val="24"/>
        </w:rPr>
        <w:t>本微专业面向上海政法学院</w:t>
      </w:r>
      <w:r>
        <w:rPr>
          <w:rFonts w:ascii="宋体" w:eastAsia="宋体" w:hAnsi="宋体" w:hint="eastAsia"/>
          <w:color w:val="4D4D4D"/>
          <w:sz w:val="24"/>
          <w:szCs w:val="24"/>
        </w:rPr>
        <w:t>202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级、</w:t>
      </w:r>
      <w:r>
        <w:rPr>
          <w:rFonts w:ascii="宋体" w:eastAsia="宋体" w:hAnsi="宋体" w:hint="eastAsia"/>
          <w:sz w:val="24"/>
          <w:szCs w:val="24"/>
        </w:rPr>
        <w:t>2024</w:t>
      </w:r>
      <w:r>
        <w:rPr>
          <w:rFonts w:ascii="宋体" w:eastAsia="宋体" w:hAnsi="宋体" w:hint="eastAsia"/>
          <w:sz w:val="24"/>
          <w:szCs w:val="24"/>
        </w:rPr>
        <w:t>级和</w:t>
      </w:r>
      <w:r>
        <w:rPr>
          <w:rFonts w:ascii="宋体" w:eastAsia="宋体" w:hAnsi="宋体" w:hint="eastAsia"/>
          <w:sz w:val="24"/>
          <w:szCs w:val="24"/>
        </w:rPr>
        <w:t>2025</w:t>
      </w:r>
      <w:r>
        <w:rPr>
          <w:rFonts w:ascii="宋体" w:eastAsia="宋体" w:hAnsi="宋体" w:hint="eastAsia"/>
          <w:sz w:val="24"/>
          <w:szCs w:val="24"/>
        </w:rPr>
        <w:t>级</w:t>
      </w:r>
      <w:r>
        <w:rPr>
          <w:rFonts w:ascii="宋体" w:eastAsia="宋体" w:hAnsi="宋体" w:hint="eastAsia"/>
          <w:color w:val="4D4D4D"/>
          <w:sz w:val="24"/>
          <w:szCs w:val="24"/>
        </w:rPr>
        <w:t>全日制本科生招生。</w:t>
      </w:r>
    </w:p>
    <w:p w:rsidR="00287763" w:rsidRDefault="00B81D1F">
      <w:pPr>
        <w:spacing w:line="360" w:lineRule="auto"/>
        <w:ind w:firstLineChars="200" w:firstLine="482"/>
        <w:rPr>
          <w:rFonts w:ascii="宋体" w:eastAsia="宋体" w:hAnsi="宋体"/>
          <w:b/>
          <w:color w:val="4D4D4D"/>
          <w:sz w:val="24"/>
          <w:szCs w:val="24"/>
        </w:rPr>
      </w:pPr>
      <w:r>
        <w:rPr>
          <w:rFonts w:ascii="宋体" w:eastAsia="宋体" w:hAnsi="宋体" w:hint="eastAsia"/>
          <w:b/>
          <w:color w:val="4D4D4D"/>
          <w:sz w:val="24"/>
          <w:szCs w:val="24"/>
        </w:rPr>
        <w:t>（二）报名条件</w:t>
      </w:r>
    </w:p>
    <w:p w:rsidR="00287763" w:rsidRDefault="00B81D1F">
      <w:pPr>
        <w:spacing w:line="360" w:lineRule="auto"/>
        <w:ind w:firstLineChars="200" w:firstLine="482"/>
        <w:rPr>
          <w:rFonts w:ascii="宋体" w:eastAsia="宋体" w:hAnsi="宋体"/>
          <w:b/>
          <w:color w:val="4D4D4D"/>
          <w:sz w:val="24"/>
          <w:szCs w:val="24"/>
        </w:rPr>
      </w:pPr>
      <w:r>
        <w:rPr>
          <w:rFonts w:ascii="宋体" w:eastAsia="宋体" w:hAnsi="宋体"/>
          <w:b/>
          <w:color w:val="4D4D4D"/>
          <w:sz w:val="24"/>
          <w:szCs w:val="24"/>
        </w:rPr>
        <w:t>1</w:t>
      </w:r>
      <w:r>
        <w:rPr>
          <w:rFonts w:ascii="宋体" w:eastAsia="宋体" w:hAnsi="宋体" w:hint="eastAsia"/>
          <w:b/>
          <w:sz w:val="24"/>
          <w:szCs w:val="24"/>
        </w:rPr>
        <w:t>.</w:t>
      </w:r>
      <w:r>
        <w:rPr>
          <w:rFonts w:ascii="宋体" w:eastAsia="宋体" w:hAnsi="宋体"/>
          <w:b/>
          <w:color w:val="4D4D4D"/>
          <w:sz w:val="24"/>
          <w:szCs w:val="24"/>
        </w:rPr>
        <w:t>招生条件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具备良好的英语听说读写能力，能够流畅地进行跨语言沟通。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对</w:t>
      </w:r>
      <w:r>
        <w:rPr>
          <w:rFonts w:ascii="宋体" w:eastAsia="宋体" w:hAnsi="宋体" w:hint="eastAsia"/>
          <w:sz w:val="24"/>
          <w:szCs w:val="24"/>
        </w:rPr>
        <w:t>跨境</w:t>
      </w:r>
      <w:r>
        <w:rPr>
          <w:rFonts w:ascii="宋体" w:eastAsia="宋体" w:hAnsi="宋体"/>
          <w:sz w:val="24"/>
          <w:szCs w:val="24"/>
        </w:rPr>
        <w:t>法律</w:t>
      </w:r>
      <w:r>
        <w:rPr>
          <w:rFonts w:ascii="宋体" w:eastAsia="宋体" w:hAnsi="宋体" w:hint="eastAsia"/>
          <w:sz w:val="24"/>
          <w:szCs w:val="24"/>
        </w:rPr>
        <w:t>事务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法律翻译</w:t>
      </w:r>
      <w:r>
        <w:rPr>
          <w:rFonts w:ascii="宋体" w:eastAsia="宋体" w:hAnsi="宋体"/>
          <w:sz w:val="24"/>
          <w:szCs w:val="24"/>
        </w:rPr>
        <w:t>有一定的了解或兴趣。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具备基本的计算机操作能力，熟悉常用办公软件。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）具备</w:t>
      </w:r>
      <w:r>
        <w:rPr>
          <w:rFonts w:ascii="宋体" w:eastAsia="宋体" w:hAnsi="宋体"/>
          <w:sz w:val="24"/>
          <w:szCs w:val="24"/>
        </w:rPr>
        <w:t>独立思考</w:t>
      </w:r>
      <w:r>
        <w:rPr>
          <w:rFonts w:ascii="宋体" w:eastAsia="宋体" w:hAnsi="宋体" w:hint="eastAsia"/>
          <w:sz w:val="24"/>
          <w:szCs w:val="24"/>
        </w:rPr>
        <w:t>和逻辑思维能力</w:t>
      </w:r>
      <w:r>
        <w:rPr>
          <w:rFonts w:ascii="宋体" w:eastAsia="宋体" w:hAnsi="宋体"/>
          <w:sz w:val="24"/>
          <w:szCs w:val="24"/>
        </w:rPr>
        <w:t>，具有较强的学习能力和团队合作精神。</w:t>
      </w:r>
    </w:p>
    <w:p w:rsidR="00287763" w:rsidRDefault="00B81D1F">
      <w:pPr>
        <w:spacing w:line="360" w:lineRule="auto"/>
        <w:ind w:firstLineChars="200" w:firstLine="482"/>
        <w:rPr>
          <w:rFonts w:ascii="宋体" w:eastAsia="宋体" w:hAnsi="宋体"/>
          <w:b/>
          <w:color w:val="4D4D4D"/>
          <w:sz w:val="24"/>
          <w:szCs w:val="24"/>
        </w:rPr>
      </w:pPr>
      <w:r>
        <w:rPr>
          <w:rFonts w:ascii="宋体" w:eastAsia="宋体" w:hAnsi="宋体"/>
          <w:b/>
          <w:color w:val="4D4D4D"/>
          <w:sz w:val="24"/>
          <w:szCs w:val="24"/>
        </w:rPr>
        <w:t>2</w:t>
      </w:r>
      <w:r>
        <w:rPr>
          <w:rFonts w:ascii="宋体" w:eastAsia="宋体" w:hAnsi="宋体" w:hint="eastAsia"/>
          <w:b/>
          <w:sz w:val="24"/>
          <w:szCs w:val="24"/>
        </w:rPr>
        <w:t>.</w:t>
      </w:r>
      <w:r>
        <w:rPr>
          <w:rFonts w:ascii="宋体" w:eastAsia="宋体" w:hAnsi="宋体"/>
          <w:b/>
          <w:color w:val="4D4D4D"/>
          <w:sz w:val="24"/>
          <w:szCs w:val="24"/>
        </w:rPr>
        <w:t>前置课程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为了确保学生能够顺利学习本微专业的核心内容，建议学生在报名前完成与以下内容相关的前置课程中</w:t>
      </w:r>
      <w:r>
        <w:rPr>
          <w:rFonts w:ascii="宋体" w:eastAsia="宋体" w:hAnsi="宋体" w:hint="eastAsia"/>
          <w:sz w:val="24"/>
          <w:szCs w:val="24"/>
        </w:rPr>
        <w:t>1-2</w:t>
      </w:r>
      <w:r>
        <w:rPr>
          <w:rFonts w:ascii="宋体" w:eastAsia="宋体" w:hAnsi="宋体" w:hint="eastAsia"/>
          <w:sz w:val="24"/>
          <w:szCs w:val="24"/>
        </w:rPr>
        <w:t>门的学习：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）法律基础知识：包括但不限于民法、刑法、商法等基本法律概念和原则。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）法律英语与翻译：涵盖法律语言特征、法律翻译策略与技巧等基础知识。</w:t>
      </w:r>
    </w:p>
    <w:p w:rsidR="00287763" w:rsidRDefault="00B81D1F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）跨文化沟通：涵盖人际沟通、跨文化交际等基础知识。</w:t>
      </w:r>
    </w:p>
    <w:p w:rsidR="00287763" w:rsidRDefault="00B81D1F">
      <w:pPr>
        <w:spacing w:line="360" w:lineRule="auto"/>
        <w:ind w:firstLineChars="200" w:firstLine="482"/>
        <w:rPr>
          <w:rFonts w:ascii="宋体" w:eastAsia="宋体" w:hAnsi="宋体"/>
          <w:b/>
          <w:color w:val="4D4D4D"/>
          <w:sz w:val="24"/>
          <w:szCs w:val="24"/>
        </w:rPr>
      </w:pPr>
      <w:r>
        <w:rPr>
          <w:rFonts w:ascii="宋体" w:eastAsia="宋体" w:hAnsi="宋体" w:hint="eastAsia"/>
          <w:b/>
          <w:color w:val="4D4D4D"/>
          <w:sz w:val="24"/>
          <w:szCs w:val="24"/>
        </w:rPr>
        <w:t>（三）招生规模</w:t>
      </w:r>
    </w:p>
    <w:p w:rsidR="00287763" w:rsidRDefault="00B81D1F">
      <w:pPr>
        <w:spacing w:line="360" w:lineRule="auto"/>
        <w:ind w:firstLineChars="200" w:firstLine="480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color w:val="4D4D4D"/>
          <w:sz w:val="24"/>
          <w:szCs w:val="24"/>
        </w:rPr>
        <w:t>本微专业本次招生人数为</w:t>
      </w:r>
      <w:r>
        <w:rPr>
          <w:rFonts w:ascii="宋体" w:eastAsia="宋体" w:hAnsi="宋体" w:hint="eastAsia"/>
          <w:color w:val="4D4D4D"/>
          <w:sz w:val="24"/>
          <w:szCs w:val="24"/>
        </w:rPr>
        <w:t>20-25</w:t>
      </w:r>
      <w:r>
        <w:rPr>
          <w:rFonts w:ascii="宋体" w:eastAsia="宋体" w:hAnsi="宋体" w:hint="eastAsia"/>
          <w:color w:val="4D4D4D"/>
          <w:sz w:val="24"/>
          <w:szCs w:val="24"/>
        </w:rPr>
        <w:t>名，若招生人数低于</w:t>
      </w:r>
      <w:r>
        <w:rPr>
          <w:rFonts w:ascii="宋体" w:eastAsia="宋体" w:hAnsi="宋体" w:hint="eastAsia"/>
          <w:color w:val="4D4D4D"/>
          <w:sz w:val="24"/>
          <w:szCs w:val="24"/>
        </w:rPr>
        <w:t>15</w:t>
      </w:r>
      <w:r>
        <w:rPr>
          <w:rFonts w:ascii="宋体" w:eastAsia="宋体" w:hAnsi="宋体" w:hint="eastAsia"/>
          <w:color w:val="4D4D4D"/>
          <w:sz w:val="24"/>
          <w:szCs w:val="24"/>
        </w:rPr>
        <w:t>人，原则上不予开班教学。若报名人数超过限额，将会择优录取。</w:t>
      </w:r>
    </w:p>
    <w:p w:rsidR="00287763" w:rsidRDefault="00B81D1F" w:rsidP="00222ECB">
      <w:pPr>
        <w:spacing w:beforeLines="50" w:afterLines="50" w:line="560" w:lineRule="exact"/>
        <w:ind w:left="562"/>
        <w:rPr>
          <w:rStyle w:val="aa"/>
          <w:rFonts w:ascii="黑体" w:eastAsia="黑体" w:hAnsi="黑体" w:cs="黑体"/>
          <w:b w:val="0"/>
          <w:bCs w:val="0"/>
          <w:color w:val="000000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四、课程设置</w:t>
      </w:r>
    </w:p>
    <w:p w:rsidR="00287763" w:rsidRDefault="00B81D1F" w:rsidP="00222ECB">
      <w:pPr>
        <w:spacing w:afterLines="50" w:line="400" w:lineRule="exact"/>
        <w:ind w:left="480"/>
        <w:jc w:val="center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“跨境法律实务技能”微专业课程设置及教学进程计划表</w:t>
      </w:r>
    </w:p>
    <w:tbl>
      <w:tblPr>
        <w:tblW w:w="8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48"/>
        <w:gridCol w:w="2946"/>
        <w:gridCol w:w="870"/>
        <w:gridCol w:w="852"/>
        <w:gridCol w:w="3150"/>
      </w:tblGrid>
      <w:tr w:rsidR="00287763">
        <w:trPr>
          <w:trHeight w:val="312"/>
          <w:jc w:val="center"/>
        </w:trPr>
        <w:tc>
          <w:tcPr>
            <w:tcW w:w="648" w:type="dxa"/>
            <w:noWrap/>
            <w:vAlign w:val="center"/>
          </w:tcPr>
          <w:p w:rsidR="00287763" w:rsidRDefault="00B81D1F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bookmarkStart w:id="0" w:name="_Hlk227919711"/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946" w:type="dxa"/>
            <w:noWrap/>
            <w:vAlign w:val="center"/>
          </w:tcPr>
          <w:p w:rsidR="00287763" w:rsidRDefault="00B81D1F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870" w:type="dxa"/>
            <w:noWrap/>
            <w:vAlign w:val="center"/>
          </w:tcPr>
          <w:p w:rsidR="00287763" w:rsidRDefault="00B81D1F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noWrap/>
            <w:vAlign w:val="center"/>
          </w:tcPr>
          <w:p w:rsidR="00287763" w:rsidRDefault="00B81D1F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3150" w:type="dxa"/>
            <w:noWrap/>
            <w:vAlign w:val="center"/>
          </w:tcPr>
          <w:p w:rsidR="00287763" w:rsidRDefault="00B81D1F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开课学期</w:t>
            </w:r>
          </w:p>
        </w:tc>
      </w:tr>
      <w:tr w:rsidR="00287763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1</w:t>
            </w:r>
          </w:p>
        </w:tc>
        <w:tc>
          <w:tcPr>
            <w:tcW w:w="2946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涉外争议解决实务</w:t>
            </w:r>
          </w:p>
        </w:tc>
        <w:tc>
          <w:tcPr>
            <w:tcW w:w="870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2026</w:t>
            </w: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年夏季学期</w:t>
            </w:r>
          </w:p>
        </w:tc>
      </w:tr>
      <w:tr w:rsidR="00287763">
        <w:trPr>
          <w:trHeight w:val="292"/>
          <w:jc w:val="center"/>
        </w:trPr>
        <w:tc>
          <w:tcPr>
            <w:tcW w:w="648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2</w:t>
            </w:r>
          </w:p>
        </w:tc>
        <w:tc>
          <w:tcPr>
            <w:tcW w:w="2946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跨境合规法律实务</w:t>
            </w:r>
          </w:p>
        </w:tc>
        <w:tc>
          <w:tcPr>
            <w:tcW w:w="870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2026</w:t>
            </w: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年夏季学期</w:t>
            </w:r>
          </w:p>
        </w:tc>
      </w:tr>
      <w:tr w:rsidR="00287763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3</w:t>
            </w:r>
          </w:p>
        </w:tc>
        <w:tc>
          <w:tcPr>
            <w:tcW w:w="2946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跨文化法律沟通</w:t>
            </w:r>
          </w:p>
        </w:tc>
        <w:tc>
          <w:tcPr>
            <w:tcW w:w="870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2026</w:t>
            </w: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年夏季学期</w:t>
            </w:r>
          </w:p>
        </w:tc>
      </w:tr>
      <w:tr w:rsidR="00287763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4</w:t>
            </w:r>
          </w:p>
        </w:tc>
        <w:tc>
          <w:tcPr>
            <w:tcW w:w="2946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涉外法律翻译综合实训</w:t>
            </w:r>
          </w:p>
        </w:tc>
        <w:tc>
          <w:tcPr>
            <w:tcW w:w="870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287763" w:rsidRPr="00222ECB" w:rsidRDefault="00B81D1F">
            <w:pPr>
              <w:jc w:val="center"/>
              <w:rPr>
                <w:rFonts w:ascii="宋体" w:eastAsia="宋体" w:hAnsi="宋体"/>
                <w:color w:val="4D4D4D"/>
                <w:sz w:val="24"/>
                <w:szCs w:val="24"/>
              </w:rPr>
            </w:pP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2026</w:t>
            </w:r>
            <w:r w:rsidRPr="00222ECB">
              <w:rPr>
                <w:rFonts w:ascii="宋体" w:eastAsia="宋体" w:hAnsi="宋体" w:hint="eastAsia"/>
                <w:color w:val="4D4D4D"/>
                <w:sz w:val="24"/>
                <w:szCs w:val="24"/>
              </w:rPr>
              <w:t>年夏季学期</w:t>
            </w:r>
          </w:p>
        </w:tc>
      </w:tr>
    </w:tbl>
    <w:bookmarkEnd w:id="0"/>
    <w:p w:rsidR="00287763" w:rsidRDefault="00B81D1F">
      <w:pPr>
        <w:spacing w:line="560" w:lineRule="exact"/>
        <w:ind w:firstLineChars="150" w:firstLine="361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附：课程简介</w:t>
      </w:r>
    </w:p>
    <w:p w:rsidR="00287763" w:rsidRDefault="00B81D1F">
      <w:pPr>
        <w:spacing w:line="360" w:lineRule="auto"/>
        <w:ind w:leftChars="104" w:left="218" w:firstLineChars="175" w:firstLine="422"/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 w:hint="eastAsia"/>
          <w:b/>
          <w:sz w:val="24"/>
        </w:rPr>
        <w:t>1.</w:t>
      </w:r>
      <w:r>
        <w:rPr>
          <w:rFonts w:ascii="Times New Roman" w:eastAsia="宋体" w:hAnsi="Times New Roman" w:cs="Times New Roman"/>
          <w:b/>
          <w:sz w:val="24"/>
        </w:rPr>
        <w:t>《涉外争议解决实务》课程</w:t>
      </w:r>
    </w:p>
    <w:p w:rsidR="00287763" w:rsidRDefault="00B81D1F">
      <w:p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本课程作为</w:t>
      </w:r>
      <w:r>
        <w:rPr>
          <w:rFonts w:ascii="Times New Roman" w:eastAsia="宋体" w:hAnsi="Times New Roman" w:cs="Times New Roman" w:hint="eastAsia"/>
          <w:bCs/>
          <w:sz w:val="24"/>
        </w:rPr>
        <w:t>“跨境法律实务技能”</w:t>
      </w:r>
      <w:r>
        <w:rPr>
          <w:rFonts w:ascii="Times New Roman" w:eastAsia="宋体" w:hAnsi="Times New Roman" w:cs="Times New Roman"/>
          <w:bCs/>
          <w:sz w:val="24"/>
        </w:rPr>
        <w:t>微专业的高阶课程，是该专业实务课程的重要组成部分。课程以应用型涉外法治人才培养为目标，在学生具备法律英语、文书写作等基础技能的基础上，就涉外法治实务开展实践应用训练。课程围绕涉外法律实务中的争议解决的实用技能开展实训，涵盖涉外争议磋商与谈判、争议解决条款的制定、涉外民商事调解实务、涉外商事仲裁实务、涉外投资仲裁实务、涉外民商事诉讼等核心授课内容。课程讲授与实训紧密结合，授课围绕涉外争议解决的案例展开分析研讨，培养学生熟练运用英语作为工作语</w:t>
      </w:r>
      <w:r>
        <w:rPr>
          <w:rFonts w:ascii="Times New Roman" w:eastAsia="宋体" w:hAnsi="Times New Roman" w:cs="Times New Roman"/>
          <w:bCs/>
          <w:sz w:val="24"/>
        </w:rPr>
        <w:lastRenderedPageBreak/>
        <w:t>言，深入分析和解决问题的能力，帮助学生逐步形成以法律职业方式处理法律争</w:t>
      </w:r>
      <w:r>
        <w:rPr>
          <w:rFonts w:ascii="Times New Roman" w:eastAsia="宋体" w:hAnsi="Times New Roman" w:cs="Times New Roman"/>
          <w:bCs/>
          <w:sz w:val="24"/>
        </w:rPr>
        <w:t>议问题的专业化思维。经过体系化的训练，在法律服务领域培养具有深厚法学功底与国际视野、通晓国际法律规则以及善于处理涉外法律事务的能力高层次、复合型、应用型、国际型涉外法治人才。</w:t>
      </w:r>
    </w:p>
    <w:p w:rsidR="00287763" w:rsidRDefault="00B81D1F">
      <w:pPr>
        <w:spacing w:line="360" w:lineRule="auto"/>
        <w:ind w:leftChars="104" w:left="218" w:firstLineChars="175" w:firstLine="422"/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2.</w:t>
      </w:r>
      <w:r>
        <w:rPr>
          <w:rFonts w:ascii="Times New Roman" w:eastAsia="宋体" w:hAnsi="Times New Roman" w:cs="Times New Roman"/>
          <w:b/>
          <w:sz w:val="24"/>
        </w:rPr>
        <w:t>《跨境合规法律实务》课程</w:t>
      </w:r>
    </w:p>
    <w:p w:rsidR="00287763" w:rsidRDefault="00B81D1F">
      <w:p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本课程面向</w:t>
      </w:r>
      <w:r>
        <w:rPr>
          <w:rFonts w:ascii="Times New Roman" w:eastAsia="宋体" w:hAnsi="Times New Roman" w:cs="Times New Roman" w:hint="eastAsia"/>
          <w:bCs/>
          <w:sz w:val="24"/>
        </w:rPr>
        <w:t>“</w:t>
      </w:r>
      <w:r>
        <w:rPr>
          <w:rFonts w:ascii="Times New Roman" w:eastAsia="宋体" w:hAnsi="Times New Roman" w:cs="Times New Roman"/>
          <w:bCs/>
          <w:sz w:val="24"/>
        </w:rPr>
        <w:t>小语种</w:t>
      </w:r>
      <w:r>
        <w:rPr>
          <w:rFonts w:ascii="Times New Roman" w:eastAsia="宋体" w:hAnsi="Times New Roman" w:cs="Times New Roman"/>
          <w:bCs/>
          <w:sz w:val="24"/>
        </w:rPr>
        <w:t>+</w:t>
      </w:r>
      <w:r>
        <w:rPr>
          <w:rFonts w:ascii="Times New Roman" w:eastAsia="宋体" w:hAnsi="Times New Roman" w:cs="Times New Roman"/>
          <w:bCs/>
          <w:sz w:val="24"/>
        </w:rPr>
        <w:t>法律</w:t>
      </w:r>
      <w:r>
        <w:rPr>
          <w:rFonts w:ascii="Times New Roman" w:eastAsia="宋体" w:hAnsi="Times New Roman" w:cs="Times New Roman" w:hint="eastAsia"/>
          <w:bCs/>
          <w:sz w:val="24"/>
        </w:rPr>
        <w:t>”</w:t>
      </w:r>
      <w:r>
        <w:rPr>
          <w:rFonts w:ascii="Times New Roman" w:eastAsia="宋体" w:hAnsi="Times New Roman" w:cs="Times New Roman"/>
          <w:bCs/>
          <w:sz w:val="24"/>
        </w:rPr>
        <w:t>复合型学生，以涉外律师实务为核心，聚焦两大核心业务：为外国客户提供中国法合规服务、为中国企业出海提供境外合规非诉服务，建立</w:t>
      </w:r>
      <w:r>
        <w:rPr>
          <w:rFonts w:ascii="Times New Roman" w:eastAsia="宋体" w:hAnsi="Times New Roman" w:cs="Times New Roman"/>
          <w:bCs/>
          <w:sz w:val="24"/>
        </w:rPr>
        <w:t xml:space="preserve"> “</w:t>
      </w:r>
      <w:r>
        <w:rPr>
          <w:rFonts w:ascii="Times New Roman" w:eastAsia="宋体" w:hAnsi="Times New Roman" w:cs="Times New Roman"/>
          <w:bCs/>
          <w:sz w:val="24"/>
        </w:rPr>
        <w:t>语言</w:t>
      </w:r>
      <w:r>
        <w:rPr>
          <w:rFonts w:ascii="Times New Roman" w:eastAsia="宋体" w:hAnsi="Times New Roman" w:cs="Times New Roman"/>
          <w:bCs/>
          <w:sz w:val="24"/>
        </w:rPr>
        <w:t>+</w:t>
      </w:r>
      <w:r>
        <w:rPr>
          <w:rFonts w:ascii="Times New Roman" w:eastAsia="宋体" w:hAnsi="Times New Roman" w:cs="Times New Roman"/>
          <w:bCs/>
          <w:sz w:val="24"/>
        </w:rPr>
        <w:t>法律</w:t>
      </w:r>
      <w:r>
        <w:rPr>
          <w:rFonts w:ascii="Times New Roman" w:eastAsia="宋体" w:hAnsi="Times New Roman" w:cs="Times New Roman"/>
          <w:bCs/>
          <w:sz w:val="24"/>
        </w:rPr>
        <w:t>+</w:t>
      </w:r>
      <w:r>
        <w:rPr>
          <w:rFonts w:ascii="Times New Roman" w:eastAsia="宋体" w:hAnsi="Times New Roman" w:cs="Times New Roman"/>
          <w:bCs/>
          <w:sz w:val="24"/>
        </w:rPr>
        <w:t>跨境</w:t>
      </w:r>
      <w:r>
        <w:rPr>
          <w:rFonts w:ascii="Times New Roman" w:eastAsia="宋体" w:hAnsi="Times New Roman" w:cs="Times New Roman"/>
          <w:bCs/>
          <w:sz w:val="24"/>
        </w:rPr>
        <w:t xml:space="preserve">” </w:t>
      </w:r>
      <w:r>
        <w:rPr>
          <w:rFonts w:ascii="Times New Roman" w:eastAsia="宋体" w:hAnsi="Times New Roman" w:cs="Times New Roman"/>
          <w:bCs/>
          <w:sz w:val="24"/>
        </w:rPr>
        <w:t>实战能力。</w:t>
      </w:r>
    </w:p>
    <w:p w:rsidR="00287763" w:rsidRDefault="00B81D1F">
      <w:p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课程主要内容：</w:t>
      </w:r>
    </w:p>
    <w:p w:rsidR="00287763" w:rsidRDefault="00B81D1F">
      <w:pPr>
        <w:numPr>
          <w:ilvl w:val="0"/>
          <w:numId w:val="2"/>
        </w:num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跨境合规基础与小语种涉外律师业务逻辑</w:t>
      </w:r>
    </w:p>
    <w:p w:rsidR="00287763" w:rsidRDefault="00B81D1F">
      <w:p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跨境合规核心边界、小语种律师的核心竞争力、中外合规服务的核心差异。</w:t>
      </w:r>
    </w:p>
    <w:p w:rsidR="00287763" w:rsidRDefault="00B81D1F">
      <w:pPr>
        <w:numPr>
          <w:ilvl w:val="0"/>
          <w:numId w:val="2"/>
        </w:num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外国客户（俄语区</w:t>
      </w:r>
      <w:r>
        <w:rPr>
          <w:rFonts w:ascii="Times New Roman" w:eastAsia="宋体" w:hAnsi="Times New Roman" w:cs="Times New Roman"/>
          <w:bCs/>
          <w:sz w:val="24"/>
        </w:rPr>
        <w:t>/</w:t>
      </w:r>
      <w:r>
        <w:rPr>
          <w:rFonts w:ascii="Times New Roman" w:eastAsia="宋体" w:hAnsi="Times New Roman" w:cs="Times New Roman"/>
          <w:bCs/>
          <w:sz w:val="24"/>
        </w:rPr>
        <w:t>小语种国家）中国法合规实务</w:t>
      </w:r>
    </w:p>
    <w:p w:rsidR="00287763" w:rsidRDefault="00B81D1F">
      <w:p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外商在华投资、经营全流程合规（市场准入、公司设立、税务、劳动、数据合规）、非诉文书制作（尽调、合规意见书、合同审查）、小语种对接实务技巧。</w:t>
      </w:r>
    </w:p>
    <w:p w:rsidR="00287763" w:rsidRDefault="00B81D1F">
      <w:pPr>
        <w:numPr>
          <w:ilvl w:val="0"/>
          <w:numId w:val="2"/>
        </w:num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中国企业出海（俄语区</w:t>
      </w:r>
      <w:r>
        <w:rPr>
          <w:rFonts w:ascii="Times New Roman" w:eastAsia="宋体" w:hAnsi="Times New Roman" w:cs="Times New Roman"/>
          <w:bCs/>
          <w:sz w:val="24"/>
        </w:rPr>
        <w:t>/</w:t>
      </w:r>
      <w:r>
        <w:rPr>
          <w:rFonts w:ascii="Times New Roman" w:eastAsia="宋体" w:hAnsi="Times New Roman" w:cs="Times New Roman"/>
          <w:bCs/>
          <w:sz w:val="24"/>
        </w:rPr>
        <w:t>小语种国家）合规非诉服务</w:t>
      </w:r>
    </w:p>
    <w:p w:rsidR="00287763" w:rsidRDefault="00B81D1F">
      <w:p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境外投资、贸易、落地经营的合规要点（境外监管、外汇、反垄断、数据、劳工合规）、出海合规方案设计、风险防控与非诉落地流程。</w:t>
      </w:r>
    </w:p>
    <w:p w:rsidR="00287763" w:rsidRDefault="00B81D1F">
      <w:pPr>
        <w:numPr>
          <w:ilvl w:val="0"/>
          <w:numId w:val="2"/>
        </w:num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实战演练</w:t>
      </w:r>
      <w:r>
        <w:rPr>
          <w:rFonts w:ascii="Times New Roman" w:eastAsia="宋体" w:hAnsi="Times New Roman" w:cs="Times New Roman"/>
          <w:bCs/>
          <w:sz w:val="24"/>
        </w:rPr>
        <w:t xml:space="preserve"> + </w:t>
      </w:r>
      <w:r>
        <w:rPr>
          <w:rFonts w:ascii="Times New Roman" w:eastAsia="宋体" w:hAnsi="Times New Roman" w:cs="Times New Roman"/>
          <w:bCs/>
          <w:sz w:val="24"/>
        </w:rPr>
        <w:t>业务落地</w:t>
      </w:r>
    </w:p>
    <w:p w:rsidR="00287763" w:rsidRDefault="00B81D1F">
      <w:p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中俄</w:t>
      </w:r>
      <w:r>
        <w:rPr>
          <w:rFonts w:ascii="Times New Roman" w:eastAsia="宋体" w:hAnsi="Times New Roman" w:cs="Times New Roman"/>
          <w:bCs/>
          <w:sz w:val="24"/>
        </w:rPr>
        <w:t>/</w:t>
      </w:r>
      <w:r>
        <w:rPr>
          <w:rFonts w:ascii="Times New Roman" w:eastAsia="宋体" w:hAnsi="Times New Roman" w:cs="Times New Roman"/>
          <w:bCs/>
          <w:sz w:val="24"/>
        </w:rPr>
        <w:t>小语种跨境合规案例拆解、涉外合规文书模板实操、小语种律师案源开拓与客户对接全流程。</w:t>
      </w:r>
    </w:p>
    <w:p w:rsidR="00287763" w:rsidRDefault="00B81D1F">
      <w:pPr>
        <w:spacing w:line="360" w:lineRule="auto"/>
        <w:ind w:leftChars="104" w:left="218" w:firstLineChars="175" w:firstLine="422"/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3.</w:t>
      </w:r>
      <w:r>
        <w:rPr>
          <w:rFonts w:ascii="Times New Roman" w:eastAsia="宋体" w:hAnsi="Times New Roman" w:cs="Times New Roman"/>
          <w:b/>
          <w:sz w:val="24"/>
        </w:rPr>
        <w:t>《涉外法律翻译综合实训》课程</w:t>
      </w:r>
    </w:p>
    <w:p w:rsidR="00287763" w:rsidRDefault="00B81D1F">
      <w:p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本课程聚</w:t>
      </w:r>
      <w:r>
        <w:rPr>
          <w:rFonts w:ascii="Times New Roman" w:eastAsia="宋体" w:hAnsi="Times New Roman" w:cs="Times New Roman"/>
          <w:bCs/>
          <w:sz w:val="24"/>
        </w:rPr>
        <w:t>焦涉外法律翻译实用技能，以轻量化、高效率为特色。课程围绕国际合同、法律函件、合规声明等高频涉外文本，讲解法律术语精准表达、句式转换、条款逻辑梳理等关键技能，突出实操性与应用性。</w:t>
      </w:r>
    </w:p>
    <w:p w:rsidR="00287763" w:rsidRDefault="00B81D1F">
      <w:pPr>
        <w:spacing w:line="360" w:lineRule="auto"/>
        <w:ind w:leftChars="104" w:left="218" w:firstLineChars="175" w:firstLine="42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通过模块化学习与翻译任务训练，学生可快速掌握法律翻译规范与技巧，提升文本理解、双语转换及合规表达能力，培养严谨的翻译思维与职业素养，为法律行业复合型人才培养提供支撑。</w:t>
      </w:r>
    </w:p>
    <w:p w:rsidR="00287763" w:rsidRDefault="00B81D1F">
      <w:pPr>
        <w:spacing w:line="360" w:lineRule="auto"/>
        <w:ind w:leftChars="104" w:left="218" w:firstLineChars="175" w:firstLine="422"/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4.</w:t>
      </w:r>
      <w:r>
        <w:rPr>
          <w:rFonts w:ascii="Times New Roman" w:eastAsia="宋体" w:hAnsi="Times New Roman" w:cs="Times New Roman"/>
          <w:b/>
          <w:sz w:val="24"/>
        </w:rPr>
        <w:t>《跨文化法律沟通》课程</w:t>
      </w:r>
    </w:p>
    <w:p w:rsidR="00287763" w:rsidRDefault="00B81D1F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lastRenderedPageBreak/>
        <w:t>本课程以实务应用为核心，按照</w:t>
      </w:r>
      <w:r>
        <w:rPr>
          <w:rFonts w:ascii="Times New Roman" w:eastAsia="宋体" w:hAnsi="Times New Roman" w:cs="Times New Roman"/>
          <w:bCs/>
          <w:sz w:val="24"/>
        </w:rPr>
        <w:t>“</w:t>
      </w:r>
      <w:r>
        <w:rPr>
          <w:rFonts w:ascii="Times New Roman" w:eastAsia="宋体" w:hAnsi="Times New Roman" w:cs="Times New Roman"/>
          <w:bCs/>
          <w:sz w:val="24"/>
        </w:rPr>
        <w:t>理论奠基</w:t>
      </w:r>
      <w:r>
        <w:rPr>
          <w:rFonts w:ascii="Times New Roman" w:eastAsia="宋体" w:hAnsi="Times New Roman" w:cs="Times New Roman"/>
          <w:bCs/>
          <w:sz w:val="24"/>
        </w:rPr>
        <w:t>—</w:t>
      </w:r>
      <w:r>
        <w:rPr>
          <w:rFonts w:ascii="Times New Roman" w:eastAsia="宋体" w:hAnsi="Times New Roman" w:cs="Times New Roman"/>
          <w:bCs/>
          <w:sz w:val="24"/>
        </w:rPr>
        <w:t>反思提升</w:t>
      </w:r>
      <w:r>
        <w:rPr>
          <w:rFonts w:ascii="Times New Roman" w:eastAsia="宋体" w:hAnsi="Times New Roman" w:cs="Times New Roman"/>
          <w:bCs/>
          <w:sz w:val="24"/>
        </w:rPr>
        <w:t>—</w:t>
      </w:r>
      <w:r>
        <w:rPr>
          <w:rFonts w:ascii="Times New Roman" w:eastAsia="宋体" w:hAnsi="Times New Roman" w:cs="Times New Roman"/>
          <w:bCs/>
          <w:sz w:val="24"/>
        </w:rPr>
        <w:t>实操应用</w:t>
      </w:r>
      <w:r>
        <w:rPr>
          <w:rFonts w:ascii="Times New Roman" w:eastAsia="宋体" w:hAnsi="Times New Roman" w:cs="Times New Roman"/>
          <w:bCs/>
          <w:sz w:val="24"/>
        </w:rPr>
        <w:t>”</w:t>
      </w:r>
      <w:r>
        <w:rPr>
          <w:rFonts w:ascii="Times New Roman" w:eastAsia="宋体" w:hAnsi="Times New Roman" w:cs="Times New Roman"/>
          <w:bCs/>
          <w:sz w:val="24"/>
        </w:rPr>
        <w:t>的教学逻辑，立足跨文化沟通</w:t>
      </w:r>
      <w:r>
        <w:rPr>
          <w:rFonts w:ascii="Times New Roman" w:eastAsia="宋体" w:hAnsi="Times New Roman" w:cs="Times New Roman" w:hint="eastAsia"/>
          <w:bCs/>
          <w:sz w:val="24"/>
        </w:rPr>
        <w:t>核心</w:t>
      </w:r>
      <w:r>
        <w:rPr>
          <w:rFonts w:ascii="Times New Roman" w:eastAsia="宋体" w:hAnsi="Times New Roman" w:cs="Times New Roman"/>
          <w:bCs/>
          <w:sz w:val="24"/>
        </w:rPr>
        <w:t>理念，结合</w:t>
      </w:r>
      <w:r>
        <w:rPr>
          <w:rFonts w:ascii="Times New Roman" w:eastAsia="宋体" w:hAnsi="Times New Roman" w:cs="Times New Roman" w:hint="eastAsia"/>
          <w:bCs/>
          <w:sz w:val="24"/>
        </w:rPr>
        <w:t>国内外知名跨文化交际</w:t>
      </w:r>
      <w:r>
        <w:rPr>
          <w:rFonts w:ascii="Times New Roman" w:eastAsia="宋体" w:hAnsi="Times New Roman" w:cs="Times New Roman"/>
          <w:bCs/>
          <w:sz w:val="24"/>
        </w:rPr>
        <w:t>学者研究成果，打破</w:t>
      </w:r>
      <w:r>
        <w:rPr>
          <w:rFonts w:ascii="Times New Roman" w:eastAsia="宋体" w:hAnsi="Times New Roman" w:cs="Times New Roman"/>
          <w:bCs/>
          <w:sz w:val="24"/>
        </w:rPr>
        <w:t>“</w:t>
      </w:r>
      <w:r>
        <w:rPr>
          <w:rFonts w:ascii="Times New Roman" w:eastAsia="宋体" w:hAnsi="Times New Roman" w:cs="Times New Roman"/>
          <w:bCs/>
          <w:sz w:val="24"/>
        </w:rPr>
        <w:t>文化</w:t>
      </w:r>
      <w:r>
        <w:rPr>
          <w:rFonts w:ascii="Times New Roman" w:eastAsia="宋体" w:hAnsi="Times New Roman" w:cs="Times New Roman"/>
          <w:bCs/>
          <w:sz w:val="24"/>
        </w:rPr>
        <w:t>=</w:t>
      </w:r>
      <w:r>
        <w:rPr>
          <w:rFonts w:ascii="Times New Roman" w:eastAsia="宋体" w:hAnsi="Times New Roman" w:cs="Times New Roman"/>
          <w:bCs/>
          <w:sz w:val="24"/>
        </w:rPr>
        <w:t>种族</w:t>
      </w:r>
      <w:r>
        <w:rPr>
          <w:rFonts w:ascii="Times New Roman" w:eastAsia="宋体" w:hAnsi="Times New Roman" w:cs="Times New Roman"/>
          <w:bCs/>
          <w:sz w:val="24"/>
        </w:rPr>
        <w:t>/</w:t>
      </w:r>
      <w:r>
        <w:rPr>
          <w:rFonts w:ascii="Times New Roman" w:eastAsia="宋体" w:hAnsi="Times New Roman" w:cs="Times New Roman"/>
          <w:bCs/>
          <w:sz w:val="24"/>
        </w:rPr>
        <w:t>国籍</w:t>
      </w:r>
      <w:r>
        <w:rPr>
          <w:rFonts w:ascii="Times New Roman" w:eastAsia="宋体" w:hAnsi="Times New Roman" w:cs="Times New Roman"/>
          <w:bCs/>
          <w:sz w:val="24"/>
        </w:rPr>
        <w:t>”</w:t>
      </w:r>
      <w:r>
        <w:rPr>
          <w:rFonts w:ascii="Times New Roman" w:eastAsia="宋体" w:hAnsi="Times New Roman" w:cs="Times New Roman"/>
          <w:bCs/>
          <w:sz w:val="24"/>
        </w:rPr>
        <w:t>的狭隘认知，系统讲解跨文化沟通的核心理论、法律文化的多元属性及涉外法律沟通中的常见陷阱。</w:t>
      </w:r>
    </w:p>
    <w:p w:rsidR="00287763" w:rsidRDefault="00B81D1F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4D4D4D"/>
          <w:sz w:val="24"/>
          <w:szCs w:val="24"/>
        </w:rPr>
      </w:pPr>
      <w:r>
        <w:rPr>
          <w:rFonts w:ascii="Times New Roman" w:eastAsia="宋体" w:hAnsi="Times New Roman" w:cs="Times New Roman"/>
          <w:bCs/>
          <w:sz w:val="24"/>
        </w:rPr>
        <w:t>课程摒弃纯理论灌输，聚焦涉外法律咨询、谈判、文书沟通等高频实务场景，通过案例研讨、情景模拟、反思日志、实操训练等多样化形式，引导学生识别自身文化偏见、掌握视角转换技巧，提升跨文化法律口头与书面沟通能力。课程旨在培养学生的跨文化包容意识与法律职业素养，使其能运用平行宇宙思维、分离与联结分析等方法，化解跨文化法律沟通冲突，适配全球化背景下涉外法律实务的多元需求，为学生未来从事涉外法律相关工作奠定坚实的沟</w:t>
      </w:r>
      <w:r>
        <w:rPr>
          <w:rFonts w:ascii="Times New Roman" w:eastAsia="宋体" w:hAnsi="Times New Roman" w:cs="Times New Roman"/>
          <w:bCs/>
          <w:sz w:val="24"/>
        </w:rPr>
        <w:t>通基础。</w:t>
      </w:r>
    </w:p>
    <w:p w:rsidR="00287763" w:rsidRDefault="00B81D1F">
      <w:pPr>
        <w:spacing w:line="360" w:lineRule="auto"/>
        <w:ind w:firstLineChars="200" w:firstLine="480"/>
        <w:rPr>
          <w:rFonts w:ascii="宋体" w:eastAsia="宋体" w:hAnsi="宋体"/>
          <w:color w:val="4D4D4D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4D4D4D"/>
          <w:sz w:val="24"/>
          <w:szCs w:val="24"/>
        </w:rPr>
        <w:t>五、师资力量</w:t>
      </w:r>
    </w:p>
    <w:p w:rsidR="00287763" w:rsidRDefault="00B81D1F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张正怡</w:t>
      </w:r>
      <w:r>
        <w:rPr>
          <w:rFonts w:ascii="宋体" w:eastAsia="宋体" w:hAnsi="宋体" w:cs="宋体" w:hint="eastAsia"/>
          <w:bCs/>
          <w:sz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</w:rPr>
        <w:t>教授</w:t>
      </w:r>
      <w:r>
        <w:rPr>
          <w:rFonts w:ascii="宋体" w:eastAsia="宋体" w:hAnsi="宋体" w:cs="宋体" w:hint="eastAsia"/>
          <w:bCs/>
          <w:sz w:val="24"/>
        </w:rPr>
        <w:t xml:space="preserve">   </w:t>
      </w:r>
      <w:r>
        <w:rPr>
          <w:rFonts w:ascii="宋体" w:eastAsia="宋体" w:hAnsi="宋体" w:cs="宋体" w:hint="eastAsia"/>
          <w:bCs/>
          <w:sz w:val="24"/>
        </w:rPr>
        <w:t>上海政法学院语言文化学院</w:t>
      </w:r>
    </w:p>
    <w:p w:rsidR="00287763" w:rsidRDefault="00B81D1F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徐之和</w:t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>上海国际仲裁中心研究部部长</w:t>
      </w:r>
      <w:r>
        <w:rPr>
          <w:rFonts w:ascii="宋体" w:eastAsia="宋体" w:hAnsi="宋体" w:cs="宋体" w:hint="eastAsia"/>
          <w:bCs/>
          <w:sz w:val="24"/>
        </w:rPr>
        <w:tab/>
      </w:r>
    </w:p>
    <w:p w:rsidR="00287763" w:rsidRDefault="00B81D1F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林威</w:t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>跨境投资与国际贸易专委会主任、高级合伙人</w:t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>中伦文德律师事务所</w:t>
      </w:r>
    </w:p>
    <w:p w:rsidR="00287763" w:rsidRDefault="00B81D1F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史碧云</w:t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>俄罗斯与中亚事务部负责人、合伙人</w:t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>中伦文德律师事务所</w:t>
      </w:r>
    </w:p>
    <w:p w:rsidR="00287763" w:rsidRDefault="00B81D1F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李如音</w:t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>法国与欧洲事务部负责人、合伙人</w:t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>中伦文德律师事务所</w:t>
      </w:r>
    </w:p>
    <w:p w:rsidR="00287763" w:rsidRDefault="00B81D1F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姚春雨</w:t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>讲师</w:t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>上海政法学院语言文化学院</w:t>
      </w:r>
    </w:p>
    <w:p w:rsidR="00287763" w:rsidRDefault="00B81D1F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骆伟兰</w:t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>讲师</w:t>
      </w:r>
      <w:r>
        <w:rPr>
          <w:rFonts w:ascii="宋体" w:eastAsia="宋体" w:hAnsi="宋体" w:cs="宋体" w:hint="eastAsia"/>
          <w:bCs/>
          <w:sz w:val="24"/>
        </w:rPr>
        <w:tab/>
      </w:r>
      <w:r>
        <w:rPr>
          <w:rFonts w:ascii="宋体" w:eastAsia="宋体" w:hAnsi="宋体" w:cs="宋体" w:hint="eastAsia"/>
          <w:bCs/>
          <w:sz w:val="24"/>
        </w:rPr>
        <w:t>上海政法学院语言文化学院</w:t>
      </w:r>
    </w:p>
    <w:p w:rsidR="00287763" w:rsidRDefault="00B81D1F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 w:themeColor="text1"/>
          <w:sz w:val="24"/>
          <w:szCs w:val="24"/>
        </w:rPr>
        <w:t>六、学制及证书</w:t>
      </w:r>
    </w:p>
    <w:p w:rsidR="00287763" w:rsidRDefault="00B81D1F">
      <w:pPr>
        <w:spacing w:line="360" w:lineRule="auto"/>
        <w:ind w:firstLineChars="200" w:firstLine="480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本微专业修读年限为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个学期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。完成全部课程修满学分的同学可获得上海政法学院颁发的“</w:t>
      </w:r>
      <w:r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跨境法律实务技能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微专业结业证书”。</w:t>
      </w:r>
    </w:p>
    <w:p w:rsidR="00287763" w:rsidRDefault="00B81D1F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 w:themeColor="text1"/>
          <w:sz w:val="24"/>
          <w:szCs w:val="24"/>
        </w:rPr>
        <w:t>七、报名时间与办法</w:t>
      </w:r>
    </w:p>
    <w:p w:rsidR="00287763" w:rsidRDefault="00B81D1F">
      <w:pPr>
        <w:spacing w:line="360" w:lineRule="auto"/>
        <w:ind w:firstLineChars="200" w:firstLine="482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报名截止时间：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2026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年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5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月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2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日（星期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二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  <w:bookmarkStart w:id="1" w:name="_GoBack"/>
      <w:bookmarkEnd w:id="1"/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287763" w:rsidRDefault="00B81D1F">
      <w:pPr>
        <w:spacing w:line="360" w:lineRule="auto"/>
        <w:ind w:firstLineChars="200" w:firstLine="482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报名办法：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请符合报名条件的同学将《上海政法学院本科生修读微专业申请表》及本人成绩单纸质版提交至语言文化学院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A1-206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办公室，同时将电子版发送到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zhangzhongyan@shupl.edu.cn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287763" w:rsidRDefault="00B81D1F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咨询联系人：张老师；联系方式：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021-39227117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sectPr w:rsidR="00287763" w:rsidSect="0028776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D1F" w:rsidRDefault="00B81D1F" w:rsidP="00287763">
      <w:r>
        <w:separator/>
      </w:r>
    </w:p>
  </w:endnote>
  <w:endnote w:type="continuationSeparator" w:id="1">
    <w:p w:rsidR="00B81D1F" w:rsidRDefault="00B81D1F" w:rsidP="00287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59610"/>
    </w:sdtPr>
    <w:sdtContent>
      <w:sdt>
        <w:sdtPr>
          <w:id w:val="171357217"/>
        </w:sdtPr>
        <w:sdtContent>
          <w:p w:rsidR="00287763" w:rsidRDefault="00287763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B81D1F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22ECB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 w:rsidR="00B81D1F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B81D1F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22ECB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87763" w:rsidRDefault="002877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D1F" w:rsidRDefault="00B81D1F" w:rsidP="00287763">
      <w:r>
        <w:separator/>
      </w:r>
    </w:p>
  </w:footnote>
  <w:footnote w:type="continuationSeparator" w:id="1">
    <w:p w:rsidR="00B81D1F" w:rsidRDefault="00B81D1F" w:rsidP="002877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9EF2C1"/>
    <w:multiLevelType w:val="singleLevel"/>
    <w:tmpl w:val="849EF2C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>
    <w:nsid w:val="43CD4F92"/>
    <w:multiLevelType w:val="singleLevel"/>
    <w:tmpl w:val="43CD4F92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U3OGNlYzQzZDU3MTczYmFjNTQzZmFiNjBiZTMxNGEifQ=="/>
  </w:docVars>
  <w:rsids>
    <w:rsidRoot w:val="00D6042A"/>
    <w:rsid w:val="000369A0"/>
    <w:rsid w:val="000A439B"/>
    <w:rsid w:val="000D1884"/>
    <w:rsid w:val="000D2EC8"/>
    <w:rsid w:val="00100404"/>
    <w:rsid w:val="00124B60"/>
    <w:rsid w:val="00136B70"/>
    <w:rsid w:val="001717FE"/>
    <w:rsid w:val="00174DA6"/>
    <w:rsid w:val="001833A3"/>
    <w:rsid w:val="001958E2"/>
    <w:rsid w:val="00196538"/>
    <w:rsid w:val="001B2C28"/>
    <w:rsid w:val="001B3FF4"/>
    <w:rsid w:val="001C5EE6"/>
    <w:rsid w:val="001D2869"/>
    <w:rsid w:val="001F16B7"/>
    <w:rsid w:val="00206BF7"/>
    <w:rsid w:val="00222ECB"/>
    <w:rsid w:val="00287763"/>
    <w:rsid w:val="002A77F6"/>
    <w:rsid w:val="002B60F4"/>
    <w:rsid w:val="002C004A"/>
    <w:rsid w:val="002D18D4"/>
    <w:rsid w:val="002D5AF7"/>
    <w:rsid w:val="002F59A7"/>
    <w:rsid w:val="00304CAD"/>
    <w:rsid w:val="00321D50"/>
    <w:rsid w:val="00321F30"/>
    <w:rsid w:val="0036058F"/>
    <w:rsid w:val="00364F4F"/>
    <w:rsid w:val="00391965"/>
    <w:rsid w:val="003950AD"/>
    <w:rsid w:val="003C3A12"/>
    <w:rsid w:val="003E777B"/>
    <w:rsid w:val="00466C03"/>
    <w:rsid w:val="004A7969"/>
    <w:rsid w:val="004B36DF"/>
    <w:rsid w:val="004D7AED"/>
    <w:rsid w:val="004F6FA7"/>
    <w:rsid w:val="00500795"/>
    <w:rsid w:val="00520A98"/>
    <w:rsid w:val="00542F14"/>
    <w:rsid w:val="00547347"/>
    <w:rsid w:val="00551157"/>
    <w:rsid w:val="005551C7"/>
    <w:rsid w:val="00560A26"/>
    <w:rsid w:val="00584C13"/>
    <w:rsid w:val="00587132"/>
    <w:rsid w:val="005A0479"/>
    <w:rsid w:val="005A04AD"/>
    <w:rsid w:val="005B2DF7"/>
    <w:rsid w:val="005D27BE"/>
    <w:rsid w:val="005D29E0"/>
    <w:rsid w:val="005D6EEC"/>
    <w:rsid w:val="005E2780"/>
    <w:rsid w:val="005F42DB"/>
    <w:rsid w:val="0060763F"/>
    <w:rsid w:val="00611EAB"/>
    <w:rsid w:val="00645D4C"/>
    <w:rsid w:val="006531F2"/>
    <w:rsid w:val="006645DF"/>
    <w:rsid w:val="00693139"/>
    <w:rsid w:val="00694137"/>
    <w:rsid w:val="00696DDA"/>
    <w:rsid w:val="006A5178"/>
    <w:rsid w:val="00707B89"/>
    <w:rsid w:val="007271D4"/>
    <w:rsid w:val="00743A77"/>
    <w:rsid w:val="007B1564"/>
    <w:rsid w:val="007B4B0C"/>
    <w:rsid w:val="007B7FCC"/>
    <w:rsid w:val="007D35CA"/>
    <w:rsid w:val="007D77CC"/>
    <w:rsid w:val="007F0CCE"/>
    <w:rsid w:val="00820AF1"/>
    <w:rsid w:val="008219D0"/>
    <w:rsid w:val="00850E52"/>
    <w:rsid w:val="00851B30"/>
    <w:rsid w:val="00861BE1"/>
    <w:rsid w:val="00866FCC"/>
    <w:rsid w:val="008A4C39"/>
    <w:rsid w:val="008B42A9"/>
    <w:rsid w:val="008D4DAC"/>
    <w:rsid w:val="008E5C65"/>
    <w:rsid w:val="009079DE"/>
    <w:rsid w:val="00927D63"/>
    <w:rsid w:val="00931915"/>
    <w:rsid w:val="00933DC7"/>
    <w:rsid w:val="00972539"/>
    <w:rsid w:val="009775BF"/>
    <w:rsid w:val="00981B93"/>
    <w:rsid w:val="00987E04"/>
    <w:rsid w:val="009A6F33"/>
    <w:rsid w:val="009B3317"/>
    <w:rsid w:val="009E6F37"/>
    <w:rsid w:val="009F7003"/>
    <w:rsid w:val="00A45DDC"/>
    <w:rsid w:val="00A653CA"/>
    <w:rsid w:val="00A878CB"/>
    <w:rsid w:val="00A92A73"/>
    <w:rsid w:val="00A94704"/>
    <w:rsid w:val="00AC1255"/>
    <w:rsid w:val="00B25551"/>
    <w:rsid w:val="00B25EDA"/>
    <w:rsid w:val="00B81D1F"/>
    <w:rsid w:val="00B825E9"/>
    <w:rsid w:val="00B87E6D"/>
    <w:rsid w:val="00B9639D"/>
    <w:rsid w:val="00BB5CBD"/>
    <w:rsid w:val="00BC140C"/>
    <w:rsid w:val="00BC44F5"/>
    <w:rsid w:val="00BD3764"/>
    <w:rsid w:val="00BD5B05"/>
    <w:rsid w:val="00C0429F"/>
    <w:rsid w:val="00C16FB4"/>
    <w:rsid w:val="00C27084"/>
    <w:rsid w:val="00C31B99"/>
    <w:rsid w:val="00C5719B"/>
    <w:rsid w:val="00C87C62"/>
    <w:rsid w:val="00CA6C03"/>
    <w:rsid w:val="00CE1DA9"/>
    <w:rsid w:val="00CE6A49"/>
    <w:rsid w:val="00D10C18"/>
    <w:rsid w:val="00D15924"/>
    <w:rsid w:val="00D232F5"/>
    <w:rsid w:val="00D6042A"/>
    <w:rsid w:val="00D82EF9"/>
    <w:rsid w:val="00DC2D76"/>
    <w:rsid w:val="00DE1F9B"/>
    <w:rsid w:val="00DE5F17"/>
    <w:rsid w:val="00DF5444"/>
    <w:rsid w:val="00E02D01"/>
    <w:rsid w:val="00E05D5D"/>
    <w:rsid w:val="00E427B8"/>
    <w:rsid w:val="00E64D57"/>
    <w:rsid w:val="00EC3799"/>
    <w:rsid w:val="00EC49F4"/>
    <w:rsid w:val="00EC7F87"/>
    <w:rsid w:val="00F04184"/>
    <w:rsid w:val="00F07C39"/>
    <w:rsid w:val="00F10424"/>
    <w:rsid w:val="00F10FA3"/>
    <w:rsid w:val="00F17F3E"/>
    <w:rsid w:val="00F2693F"/>
    <w:rsid w:val="00F331FE"/>
    <w:rsid w:val="00F33C07"/>
    <w:rsid w:val="00F33E41"/>
    <w:rsid w:val="00F74835"/>
    <w:rsid w:val="00FA7389"/>
    <w:rsid w:val="00FB0011"/>
    <w:rsid w:val="00FB5BF8"/>
    <w:rsid w:val="00FC351C"/>
    <w:rsid w:val="00FC3A14"/>
    <w:rsid w:val="00FD54F9"/>
    <w:rsid w:val="00FD6982"/>
    <w:rsid w:val="00FE376A"/>
    <w:rsid w:val="01875CFE"/>
    <w:rsid w:val="02502671"/>
    <w:rsid w:val="02B32C00"/>
    <w:rsid w:val="02E95776"/>
    <w:rsid w:val="05900FD6"/>
    <w:rsid w:val="05B80C59"/>
    <w:rsid w:val="06170F1E"/>
    <w:rsid w:val="066E509E"/>
    <w:rsid w:val="07100621"/>
    <w:rsid w:val="07707311"/>
    <w:rsid w:val="08A96637"/>
    <w:rsid w:val="08FA3336"/>
    <w:rsid w:val="0B016BFE"/>
    <w:rsid w:val="0B3F14D4"/>
    <w:rsid w:val="0EE04D7C"/>
    <w:rsid w:val="0F7A0D2D"/>
    <w:rsid w:val="113945C2"/>
    <w:rsid w:val="11A32900"/>
    <w:rsid w:val="11E15093"/>
    <w:rsid w:val="12863E8D"/>
    <w:rsid w:val="12B24C82"/>
    <w:rsid w:val="133833D9"/>
    <w:rsid w:val="13B3480E"/>
    <w:rsid w:val="13EB044B"/>
    <w:rsid w:val="152F4368"/>
    <w:rsid w:val="15995C85"/>
    <w:rsid w:val="16443E43"/>
    <w:rsid w:val="167E55A7"/>
    <w:rsid w:val="18616F2E"/>
    <w:rsid w:val="18F71640"/>
    <w:rsid w:val="195E521C"/>
    <w:rsid w:val="1B723200"/>
    <w:rsid w:val="1C406E5A"/>
    <w:rsid w:val="1C6C7C4F"/>
    <w:rsid w:val="1CC76D35"/>
    <w:rsid w:val="1E2527AC"/>
    <w:rsid w:val="1EAC07D7"/>
    <w:rsid w:val="1FE3088A"/>
    <w:rsid w:val="20580C17"/>
    <w:rsid w:val="22145011"/>
    <w:rsid w:val="22CF34B9"/>
    <w:rsid w:val="232F7706"/>
    <w:rsid w:val="23BE0FC7"/>
    <w:rsid w:val="24885842"/>
    <w:rsid w:val="250C6474"/>
    <w:rsid w:val="2514390B"/>
    <w:rsid w:val="25CC175F"/>
    <w:rsid w:val="27C46B92"/>
    <w:rsid w:val="27C6290A"/>
    <w:rsid w:val="27C67F3C"/>
    <w:rsid w:val="28D14C84"/>
    <w:rsid w:val="29353D69"/>
    <w:rsid w:val="2A522B7B"/>
    <w:rsid w:val="2B631DDB"/>
    <w:rsid w:val="2D9E60D7"/>
    <w:rsid w:val="2E163EBF"/>
    <w:rsid w:val="2F7B66D0"/>
    <w:rsid w:val="2FB90FA6"/>
    <w:rsid w:val="30444929"/>
    <w:rsid w:val="305667F5"/>
    <w:rsid w:val="309F019C"/>
    <w:rsid w:val="30B65323"/>
    <w:rsid w:val="30F85AFE"/>
    <w:rsid w:val="3330332D"/>
    <w:rsid w:val="33997124"/>
    <w:rsid w:val="348B6F49"/>
    <w:rsid w:val="35B375BA"/>
    <w:rsid w:val="381476C1"/>
    <w:rsid w:val="38207DBA"/>
    <w:rsid w:val="392C6B39"/>
    <w:rsid w:val="397B7CEE"/>
    <w:rsid w:val="3A7C154E"/>
    <w:rsid w:val="3ADC3D9A"/>
    <w:rsid w:val="3B9D79CE"/>
    <w:rsid w:val="3BF03FA1"/>
    <w:rsid w:val="3C2C4182"/>
    <w:rsid w:val="3CBD2DBB"/>
    <w:rsid w:val="3CC605AD"/>
    <w:rsid w:val="3CC64D02"/>
    <w:rsid w:val="3D65451B"/>
    <w:rsid w:val="3E75078E"/>
    <w:rsid w:val="3EA03A5D"/>
    <w:rsid w:val="3FA05DE3"/>
    <w:rsid w:val="41C060DD"/>
    <w:rsid w:val="41F36599"/>
    <w:rsid w:val="43440E4A"/>
    <w:rsid w:val="44531571"/>
    <w:rsid w:val="447251C8"/>
    <w:rsid w:val="44D73F50"/>
    <w:rsid w:val="450E3843"/>
    <w:rsid w:val="461F5BAF"/>
    <w:rsid w:val="467632F5"/>
    <w:rsid w:val="467A5823"/>
    <w:rsid w:val="47FB7F56"/>
    <w:rsid w:val="48082673"/>
    <w:rsid w:val="488870A1"/>
    <w:rsid w:val="4B7A5635"/>
    <w:rsid w:val="4B944949"/>
    <w:rsid w:val="4C6A56AA"/>
    <w:rsid w:val="4D27359B"/>
    <w:rsid w:val="4DE80F7C"/>
    <w:rsid w:val="4E1C6E78"/>
    <w:rsid w:val="4E8A3DE2"/>
    <w:rsid w:val="4F253B0A"/>
    <w:rsid w:val="51090512"/>
    <w:rsid w:val="513B7615"/>
    <w:rsid w:val="51826FF2"/>
    <w:rsid w:val="51DA6E2E"/>
    <w:rsid w:val="52B15DE1"/>
    <w:rsid w:val="53193986"/>
    <w:rsid w:val="53656BCB"/>
    <w:rsid w:val="53C25537"/>
    <w:rsid w:val="545A6004"/>
    <w:rsid w:val="54FC70BB"/>
    <w:rsid w:val="552C79A0"/>
    <w:rsid w:val="555962BC"/>
    <w:rsid w:val="570E07A3"/>
    <w:rsid w:val="577675F9"/>
    <w:rsid w:val="58136BF6"/>
    <w:rsid w:val="588C69A8"/>
    <w:rsid w:val="5A134FAF"/>
    <w:rsid w:val="5AC266B1"/>
    <w:rsid w:val="5B372BFB"/>
    <w:rsid w:val="5B871DD5"/>
    <w:rsid w:val="5C380D48"/>
    <w:rsid w:val="5D264C1C"/>
    <w:rsid w:val="5D3E4715"/>
    <w:rsid w:val="5E2C27BF"/>
    <w:rsid w:val="5F0454EA"/>
    <w:rsid w:val="60EF5D26"/>
    <w:rsid w:val="61C471B3"/>
    <w:rsid w:val="61E305A9"/>
    <w:rsid w:val="6213599E"/>
    <w:rsid w:val="62364E44"/>
    <w:rsid w:val="62F67840"/>
    <w:rsid w:val="63693A84"/>
    <w:rsid w:val="649E1F3D"/>
    <w:rsid w:val="64EA0CC3"/>
    <w:rsid w:val="657F6514"/>
    <w:rsid w:val="65907AD8"/>
    <w:rsid w:val="65E322FD"/>
    <w:rsid w:val="664663E8"/>
    <w:rsid w:val="66770C98"/>
    <w:rsid w:val="66A650D9"/>
    <w:rsid w:val="66B051A7"/>
    <w:rsid w:val="67915D89"/>
    <w:rsid w:val="68F330C0"/>
    <w:rsid w:val="69390486"/>
    <w:rsid w:val="69E95A08"/>
    <w:rsid w:val="69FA0715"/>
    <w:rsid w:val="6A0B1E23"/>
    <w:rsid w:val="6A23552C"/>
    <w:rsid w:val="6AC64860"/>
    <w:rsid w:val="6AFE1987"/>
    <w:rsid w:val="6B2313EE"/>
    <w:rsid w:val="6B2F7D93"/>
    <w:rsid w:val="6B99343A"/>
    <w:rsid w:val="6BE566A3"/>
    <w:rsid w:val="6CB95B66"/>
    <w:rsid w:val="6D7E0B5E"/>
    <w:rsid w:val="6DA46816"/>
    <w:rsid w:val="6F997ED1"/>
    <w:rsid w:val="6FEF189F"/>
    <w:rsid w:val="705362D1"/>
    <w:rsid w:val="71105F71"/>
    <w:rsid w:val="72A11576"/>
    <w:rsid w:val="72D37256"/>
    <w:rsid w:val="72E92126"/>
    <w:rsid w:val="73C3551C"/>
    <w:rsid w:val="7419513C"/>
    <w:rsid w:val="75E83018"/>
    <w:rsid w:val="767D5E56"/>
    <w:rsid w:val="76CA0970"/>
    <w:rsid w:val="77E3618D"/>
    <w:rsid w:val="78762B5D"/>
    <w:rsid w:val="78833246"/>
    <w:rsid w:val="78CC3D6D"/>
    <w:rsid w:val="791B3704"/>
    <w:rsid w:val="7997722F"/>
    <w:rsid w:val="7A375AED"/>
    <w:rsid w:val="7A641662"/>
    <w:rsid w:val="7AB015BF"/>
    <w:rsid w:val="7B104AFF"/>
    <w:rsid w:val="7B2745E3"/>
    <w:rsid w:val="7B4C229B"/>
    <w:rsid w:val="7C037F26"/>
    <w:rsid w:val="7C1F350C"/>
    <w:rsid w:val="7DF52776"/>
    <w:rsid w:val="7F5C4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6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287763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28776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877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877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2877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sid w:val="00287763"/>
    <w:rPr>
      <w:b/>
      <w:bCs/>
    </w:rPr>
  </w:style>
  <w:style w:type="table" w:styleId="a9">
    <w:name w:val="Table Grid"/>
    <w:basedOn w:val="a1"/>
    <w:uiPriority w:val="59"/>
    <w:qFormat/>
    <w:rsid w:val="00287763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287763"/>
    <w:rPr>
      <w:b/>
      <w:bCs/>
    </w:rPr>
  </w:style>
  <w:style w:type="character" w:styleId="ab">
    <w:name w:val="annotation reference"/>
    <w:basedOn w:val="a0"/>
    <w:uiPriority w:val="99"/>
    <w:semiHidden/>
    <w:unhideWhenUsed/>
    <w:qFormat/>
    <w:rsid w:val="00287763"/>
    <w:rPr>
      <w:sz w:val="21"/>
      <w:szCs w:val="21"/>
    </w:rPr>
  </w:style>
  <w:style w:type="paragraph" w:customStyle="1" w:styleId="ac">
    <w:name w:val="论文正文"/>
    <w:basedOn w:val="a"/>
    <w:qFormat/>
    <w:rsid w:val="00287763"/>
    <w:pPr>
      <w:autoSpaceDE w:val="0"/>
      <w:autoSpaceDN w:val="0"/>
      <w:spacing w:line="360" w:lineRule="auto"/>
      <w:ind w:firstLineChars="200" w:firstLine="420"/>
    </w:pPr>
    <w:rPr>
      <w:rFonts w:ascii="Times New Roman" w:eastAsia="宋体" w:hAnsi="Times New Roman" w:cs="仿宋"/>
      <w:kern w:val="0"/>
      <w:sz w:val="24"/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28776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87763"/>
    <w:rPr>
      <w:sz w:val="18"/>
      <w:szCs w:val="18"/>
    </w:rPr>
  </w:style>
  <w:style w:type="paragraph" w:styleId="ad">
    <w:name w:val="List Paragraph"/>
    <w:basedOn w:val="a"/>
    <w:uiPriority w:val="34"/>
    <w:qFormat/>
    <w:rsid w:val="00287763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287763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287763"/>
    <w:rPr>
      <w:kern w:val="2"/>
      <w:sz w:val="21"/>
      <w:szCs w:val="22"/>
    </w:rPr>
  </w:style>
  <w:style w:type="character" w:customStyle="1" w:styleId="Char3">
    <w:name w:val="批注主题 Char"/>
    <w:basedOn w:val="Char"/>
    <w:link w:val="a8"/>
    <w:uiPriority w:val="99"/>
    <w:semiHidden/>
    <w:qFormat/>
    <w:rsid w:val="00287763"/>
    <w:rPr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533</Words>
  <Characters>3044</Characters>
  <Application>Microsoft Office Word</Application>
  <DocSecurity>0</DocSecurity>
  <Lines>25</Lines>
  <Paragraphs>7</Paragraphs>
  <ScaleCrop>false</ScaleCrop>
  <Company>微软中国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169</cp:revision>
  <dcterms:created xsi:type="dcterms:W3CDTF">2022-05-13T12:57:00Z</dcterms:created>
  <dcterms:modified xsi:type="dcterms:W3CDTF">2026-04-29T00:43:00Z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8070C80E5336415BB4B50D634F8A0D6D_13</vt:lpwstr>
  </property>
  <property fmtid="{D5CDD505-2E9C-101B-9397-08002B2CF9AE}" pid="4" name="KSOTemplateDocerSaveRecord">
    <vt:lpwstr>eyJoZGlkIjoiYjMwNmU2MWIyN2NiYzE5YzU4ODFmYTdjODliZDVhOGMiLCJ1c2VySWQiOiI1NTM3ODc4NjkifQ==</vt:lpwstr>
  </property>
</Properties>
</file>